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127" w:rsidRPr="008F0127" w:rsidRDefault="008F0127" w:rsidP="008F0127">
      <w:pPr>
        <w:shd w:val="clear" w:color="auto" w:fill="FFFFFF"/>
        <w:spacing w:after="0" w:line="240" w:lineRule="auto"/>
        <w:jc w:val="center"/>
        <w:outlineLvl w:val="1"/>
        <w:rPr>
          <w:rFonts w:ascii="Cambria" w:eastAsia="Times New Roman" w:hAnsi="Cambria" w:cs="Times New Roman"/>
          <w:b/>
          <w:bCs/>
          <w:color w:val="333333"/>
          <w:lang w:eastAsia="en-GB"/>
        </w:rPr>
      </w:pPr>
      <w:r w:rsidRPr="008F0127">
        <w:rPr>
          <w:rFonts w:ascii="Cambria" w:eastAsia="Times New Roman" w:hAnsi="Cambria" w:cs="Times New Roman"/>
          <w:b/>
          <w:bCs/>
          <w:color w:val="333333"/>
          <w:shd w:val="clear" w:color="auto" w:fill="F4F4F4"/>
          <w:lang w:eastAsia="en-GB"/>
        </w:rPr>
        <w:t>NOTIFICATION NO. 26/2012-ST</w:t>
      </w:r>
    </w:p>
    <w:p w:rsidR="008F0127" w:rsidRDefault="008F0127" w:rsidP="008F0127">
      <w:pPr>
        <w:shd w:val="clear" w:color="auto" w:fill="FFFFFF"/>
        <w:spacing w:after="240" w:line="240" w:lineRule="auto"/>
        <w:jc w:val="center"/>
        <w:rPr>
          <w:rFonts w:ascii="Cambria" w:eastAsia="Times New Roman" w:hAnsi="Cambria" w:cs="Arial"/>
          <w:b/>
          <w:bCs/>
          <w:color w:val="333333"/>
          <w:lang w:eastAsia="en-GB"/>
        </w:rPr>
      </w:pPr>
      <w:r w:rsidRPr="008F0127">
        <w:rPr>
          <w:rFonts w:ascii="Cambria" w:eastAsia="Times New Roman" w:hAnsi="Cambria" w:cs="Arial"/>
          <w:b/>
          <w:bCs/>
          <w:color w:val="333333"/>
          <w:lang w:eastAsia="en-GB"/>
        </w:rPr>
        <w:t>SECTION 66B OF THE FINANCE ACT, 1994 - CHARGE OF SERVICE TAX ON OR AFTER FINANCE ACT, 2012 - ABATEMENT NOTIFICATION</w:t>
      </w:r>
    </w:p>
    <w:p w:rsidR="008F0127" w:rsidRDefault="008F0127" w:rsidP="008F0127">
      <w:pPr>
        <w:shd w:val="clear" w:color="auto" w:fill="FFFFFF"/>
        <w:spacing w:after="240" w:line="240" w:lineRule="auto"/>
        <w:jc w:val="center"/>
        <w:rPr>
          <w:rFonts w:ascii="Cambria" w:eastAsia="Times New Roman" w:hAnsi="Cambria" w:cs="Arial"/>
          <w:b/>
          <w:bCs/>
          <w:color w:val="333333"/>
          <w:lang w:eastAsia="en-GB"/>
        </w:rPr>
      </w:pPr>
      <w:r>
        <w:rPr>
          <w:rFonts w:ascii="Cambria" w:eastAsia="Times New Roman" w:hAnsi="Cambria" w:cs="Arial"/>
          <w:b/>
          <w:bCs/>
          <w:color w:val="333333"/>
          <w:lang w:eastAsia="en-GB"/>
        </w:rPr>
        <w:t>AS AMENDED AFTER FINANCE BILL 2016</w:t>
      </w:r>
    </w:p>
    <w:p w:rsidR="004C5C0B" w:rsidRPr="008F0127" w:rsidRDefault="004C5C0B" w:rsidP="008F0127">
      <w:pPr>
        <w:shd w:val="clear" w:color="auto" w:fill="FFFFFF"/>
        <w:spacing w:after="240" w:line="240" w:lineRule="auto"/>
        <w:jc w:val="center"/>
        <w:rPr>
          <w:rFonts w:ascii="Cambria" w:eastAsia="Times New Roman" w:hAnsi="Cambria" w:cs="Arial"/>
          <w:b/>
          <w:bCs/>
          <w:color w:val="333333"/>
          <w:lang w:eastAsia="en-GB"/>
        </w:rPr>
      </w:pPr>
      <w:r>
        <w:rPr>
          <w:rFonts w:ascii="Cambria" w:eastAsia="Times New Roman" w:hAnsi="Cambria" w:cs="Arial"/>
          <w:b/>
          <w:bCs/>
          <w:color w:val="333333"/>
          <w:lang w:eastAsia="en-GB"/>
        </w:rPr>
        <w:t>AMENDEMENTS WEF 1</w:t>
      </w:r>
      <w:r w:rsidRPr="004C5C0B">
        <w:rPr>
          <w:rFonts w:ascii="Cambria" w:eastAsia="Times New Roman" w:hAnsi="Cambria" w:cs="Arial"/>
          <w:b/>
          <w:bCs/>
          <w:color w:val="333333"/>
          <w:vertAlign w:val="superscript"/>
          <w:lang w:eastAsia="en-GB"/>
        </w:rPr>
        <w:t>st</w:t>
      </w:r>
      <w:r>
        <w:rPr>
          <w:rFonts w:ascii="Cambria" w:eastAsia="Times New Roman" w:hAnsi="Cambria" w:cs="Arial"/>
          <w:b/>
          <w:bCs/>
          <w:color w:val="333333"/>
          <w:lang w:eastAsia="en-GB"/>
        </w:rPr>
        <w:t xml:space="preserve"> April, 2016</w:t>
      </w:r>
      <w:bookmarkStart w:id="0" w:name="_GoBack"/>
      <w:bookmarkEnd w:id="0"/>
    </w:p>
    <w:p w:rsidR="008F0127" w:rsidRPr="008F0127" w:rsidRDefault="008F0127" w:rsidP="008F0127">
      <w:pPr>
        <w:shd w:val="clear" w:color="auto" w:fill="FFFFFF"/>
        <w:spacing w:after="150" w:line="240" w:lineRule="auto"/>
        <w:ind w:right="26"/>
        <w:jc w:val="both"/>
        <w:rPr>
          <w:rFonts w:ascii="Cambria" w:eastAsia="Times New Roman" w:hAnsi="Cambria" w:cs="Times New Roman"/>
          <w:color w:val="333333"/>
          <w:lang w:eastAsia="en-GB"/>
        </w:rPr>
      </w:pPr>
      <w:r w:rsidRPr="008F0127">
        <w:rPr>
          <w:rFonts w:ascii="Cambria" w:eastAsia="Times New Roman" w:hAnsi="Cambria" w:cs="Times New Roman"/>
          <w:color w:val="333333"/>
          <w:lang w:eastAsia="en-GB"/>
        </w:rPr>
        <w:t>In exercise of the powers conferred by sub-section (1) of section 93 of the Finance Act, 1994 (32 of 1994) (hereinafter referred to as the said Act), and in supersession of notification number 13/2012- Service Tax, dated the 17th March, 2012, published in the Gazette of India, Extraordinary, Part II, Section 3, sub-section (</w:t>
      </w:r>
      <w:proofErr w:type="spellStart"/>
      <w:r w:rsidRPr="008F0127">
        <w:rPr>
          <w:rFonts w:ascii="Cambria" w:eastAsia="Times New Roman" w:hAnsi="Cambria" w:cs="Times New Roman"/>
          <w:i/>
          <w:iCs/>
          <w:color w:val="333333"/>
          <w:lang w:eastAsia="en-GB"/>
        </w:rPr>
        <w:t>i</w:t>
      </w:r>
      <w:proofErr w:type="spellEnd"/>
      <w:r w:rsidRPr="008F0127">
        <w:rPr>
          <w:rFonts w:ascii="Cambria" w:eastAsia="Times New Roman" w:hAnsi="Cambria" w:cs="Times New Roman"/>
          <w:color w:val="333333"/>
          <w:lang w:eastAsia="en-GB"/>
        </w:rPr>
        <w:t>) </w:t>
      </w:r>
      <w:r w:rsidRPr="008F0127">
        <w:rPr>
          <w:rFonts w:ascii="Cambria" w:eastAsia="Times New Roman" w:hAnsi="Cambria" w:cs="Times New Roman"/>
          <w:i/>
          <w:iCs/>
          <w:color w:val="333333"/>
          <w:lang w:eastAsia="en-GB"/>
        </w:rPr>
        <w:t>vide</w:t>
      </w:r>
      <w:r w:rsidRPr="008F0127">
        <w:rPr>
          <w:rFonts w:ascii="Cambria" w:eastAsia="Times New Roman" w:hAnsi="Cambria" w:cs="Times New Roman"/>
          <w:color w:val="333333"/>
          <w:lang w:eastAsia="en-GB"/>
        </w:rPr>
        <w:t xml:space="preserve"> number G.S.R. 211(E), dated the 17th March, 2012, the Central Government, being satisfied that it is necessary in the public interest so to do, hereby exempts the taxable service of the description specified in column (2) of the Table below, from so much of the service tax </w:t>
      </w:r>
      <w:proofErr w:type="spellStart"/>
      <w:r w:rsidRPr="008F0127">
        <w:rPr>
          <w:rFonts w:ascii="Cambria" w:eastAsia="Times New Roman" w:hAnsi="Cambria" w:cs="Times New Roman"/>
          <w:color w:val="333333"/>
          <w:lang w:eastAsia="en-GB"/>
        </w:rPr>
        <w:t>leviable</w:t>
      </w:r>
      <w:proofErr w:type="spellEnd"/>
      <w:r w:rsidRPr="008F0127">
        <w:rPr>
          <w:rFonts w:ascii="Cambria" w:eastAsia="Times New Roman" w:hAnsi="Cambria" w:cs="Times New Roman"/>
          <w:color w:val="333333"/>
          <w:lang w:eastAsia="en-GB"/>
        </w:rPr>
        <w:t xml:space="preserve"> thereon under section 66B of the said Act, as is in excess of the service tax calculated on a value which is equivalent to a percentage specified in the corresponding entry in column (3) of the said Table, of the amount charged by such service provider for providing the said taxable service, unless specified otherwise, subject to the relevant conditions specified in the corresponding entry in column (4) of the said Table, namely:—</w:t>
      </w:r>
    </w:p>
    <w:tbl>
      <w:tblPr>
        <w:tblW w:w="8992" w:type="dxa"/>
        <w:tblLayout w:type="fixed"/>
        <w:tblCellMar>
          <w:top w:w="60" w:type="dxa"/>
          <w:left w:w="60" w:type="dxa"/>
          <w:bottom w:w="60" w:type="dxa"/>
          <w:right w:w="60" w:type="dxa"/>
        </w:tblCellMar>
        <w:tblLook w:val="04A0" w:firstRow="1" w:lastRow="0" w:firstColumn="1" w:lastColumn="0" w:noHBand="0" w:noVBand="1"/>
      </w:tblPr>
      <w:tblGrid>
        <w:gridCol w:w="805"/>
        <w:gridCol w:w="2967"/>
        <w:gridCol w:w="720"/>
        <w:gridCol w:w="4500"/>
      </w:tblGrid>
      <w:tr w:rsidR="008F0127" w:rsidRPr="008F0127" w:rsidTr="008F0127">
        <w:tc>
          <w:tcPr>
            <w:tcW w:w="805"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center"/>
              <w:rPr>
                <w:rFonts w:ascii="Cambria" w:eastAsia="Times New Roman" w:hAnsi="Cambria" w:cs="Times New Roman"/>
                <w:color w:val="3E3E3E"/>
                <w:lang w:eastAsia="en-GB"/>
              </w:rPr>
            </w:pPr>
            <w:r w:rsidRPr="008F0127">
              <w:rPr>
                <w:rFonts w:ascii="Cambria" w:eastAsia="Times New Roman" w:hAnsi="Cambria" w:cs="Times New Roman"/>
                <w:i/>
                <w:iCs/>
                <w:color w:val="3E3E3E"/>
                <w:lang w:eastAsia="en-GB"/>
              </w:rPr>
              <w:t>Sl. No.</w:t>
            </w:r>
          </w:p>
        </w:tc>
        <w:tc>
          <w:tcPr>
            <w:tcW w:w="2967"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center"/>
              <w:rPr>
                <w:rFonts w:ascii="Cambria" w:eastAsia="Times New Roman" w:hAnsi="Cambria" w:cs="Times New Roman"/>
                <w:color w:val="3E3E3E"/>
                <w:lang w:eastAsia="en-GB"/>
              </w:rPr>
            </w:pPr>
            <w:r w:rsidRPr="008F0127">
              <w:rPr>
                <w:rFonts w:ascii="Cambria" w:eastAsia="Times New Roman" w:hAnsi="Cambria" w:cs="Times New Roman"/>
                <w:i/>
                <w:iCs/>
                <w:color w:val="3E3E3E"/>
                <w:lang w:eastAsia="en-GB"/>
              </w:rPr>
              <w:t>Description of taxable service</w:t>
            </w:r>
          </w:p>
        </w:tc>
        <w:tc>
          <w:tcPr>
            <w:tcW w:w="720"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center"/>
              <w:rPr>
                <w:rFonts w:ascii="Cambria" w:eastAsia="Times New Roman" w:hAnsi="Cambria" w:cs="Times New Roman"/>
                <w:color w:val="3E3E3E"/>
                <w:lang w:eastAsia="en-GB"/>
              </w:rPr>
            </w:pPr>
            <w:r w:rsidRPr="008F0127">
              <w:rPr>
                <w:rFonts w:ascii="Cambria" w:eastAsia="Times New Roman" w:hAnsi="Cambria" w:cs="Times New Roman"/>
                <w:i/>
                <w:iCs/>
                <w:color w:val="3E3E3E"/>
                <w:lang w:eastAsia="en-GB"/>
              </w:rPr>
              <w:t>Percentage</w:t>
            </w:r>
          </w:p>
        </w:tc>
        <w:tc>
          <w:tcPr>
            <w:tcW w:w="4500"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center"/>
              <w:rPr>
                <w:rFonts w:ascii="Cambria" w:eastAsia="Times New Roman" w:hAnsi="Cambria" w:cs="Times New Roman"/>
                <w:color w:val="3E3E3E"/>
                <w:lang w:eastAsia="en-GB"/>
              </w:rPr>
            </w:pPr>
            <w:r w:rsidRPr="008F0127">
              <w:rPr>
                <w:rFonts w:ascii="Cambria" w:eastAsia="Times New Roman" w:hAnsi="Cambria" w:cs="Times New Roman"/>
                <w:i/>
                <w:iCs/>
                <w:color w:val="3E3E3E"/>
                <w:lang w:eastAsia="en-GB"/>
              </w:rPr>
              <w:t>Conditions</w:t>
            </w:r>
          </w:p>
        </w:tc>
      </w:tr>
      <w:tr w:rsidR="008F0127" w:rsidRPr="008F0127" w:rsidTr="008F0127">
        <w:tc>
          <w:tcPr>
            <w:tcW w:w="805"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center"/>
              <w:rPr>
                <w:rFonts w:ascii="Cambria" w:eastAsia="Times New Roman" w:hAnsi="Cambria" w:cs="Times New Roman"/>
                <w:color w:val="3E3E3E"/>
                <w:lang w:eastAsia="en-GB"/>
              </w:rPr>
            </w:pPr>
            <w:r w:rsidRPr="008F0127">
              <w:rPr>
                <w:rFonts w:ascii="Cambria" w:eastAsia="Times New Roman" w:hAnsi="Cambria" w:cs="Times New Roman"/>
                <w:i/>
                <w:iCs/>
                <w:color w:val="3E3E3E"/>
                <w:lang w:eastAsia="en-GB"/>
              </w:rPr>
              <w:t>(1)</w:t>
            </w:r>
          </w:p>
        </w:tc>
        <w:tc>
          <w:tcPr>
            <w:tcW w:w="2967"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center"/>
              <w:rPr>
                <w:rFonts w:ascii="Cambria" w:eastAsia="Times New Roman" w:hAnsi="Cambria" w:cs="Times New Roman"/>
                <w:color w:val="3E3E3E"/>
                <w:lang w:eastAsia="en-GB"/>
              </w:rPr>
            </w:pPr>
            <w:r w:rsidRPr="008F0127">
              <w:rPr>
                <w:rFonts w:ascii="Cambria" w:eastAsia="Times New Roman" w:hAnsi="Cambria" w:cs="Times New Roman"/>
                <w:i/>
                <w:iCs/>
                <w:color w:val="3E3E3E"/>
                <w:lang w:eastAsia="en-GB"/>
              </w:rPr>
              <w:t>(2)</w:t>
            </w:r>
          </w:p>
        </w:tc>
        <w:tc>
          <w:tcPr>
            <w:tcW w:w="720"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center"/>
              <w:rPr>
                <w:rFonts w:ascii="Cambria" w:eastAsia="Times New Roman" w:hAnsi="Cambria" w:cs="Times New Roman"/>
                <w:color w:val="3E3E3E"/>
                <w:lang w:eastAsia="en-GB"/>
              </w:rPr>
            </w:pPr>
            <w:r w:rsidRPr="008F0127">
              <w:rPr>
                <w:rFonts w:ascii="Cambria" w:eastAsia="Times New Roman" w:hAnsi="Cambria" w:cs="Times New Roman"/>
                <w:i/>
                <w:iCs/>
                <w:color w:val="3E3E3E"/>
                <w:lang w:eastAsia="en-GB"/>
              </w:rPr>
              <w:t>(3)</w:t>
            </w:r>
          </w:p>
        </w:tc>
        <w:tc>
          <w:tcPr>
            <w:tcW w:w="4500"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center"/>
              <w:rPr>
                <w:rFonts w:ascii="Cambria" w:eastAsia="Times New Roman" w:hAnsi="Cambria" w:cs="Times New Roman"/>
                <w:color w:val="3E3E3E"/>
                <w:lang w:eastAsia="en-GB"/>
              </w:rPr>
            </w:pPr>
            <w:r w:rsidRPr="008F0127">
              <w:rPr>
                <w:rFonts w:ascii="Cambria" w:eastAsia="Times New Roman" w:hAnsi="Cambria" w:cs="Times New Roman"/>
                <w:i/>
                <w:iCs/>
                <w:color w:val="3E3E3E"/>
                <w:lang w:eastAsia="en-GB"/>
              </w:rPr>
              <w:t>(4)</w:t>
            </w:r>
          </w:p>
        </w:tc>
      </w:tr>
      <w:tr w:rsidR="008F0127" w:rsidRPr="008F0127" w:rsidTr="008F0127">
        <w:tc>
          <w:tcPr>
            <w:tcW w:w="805"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center"/>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1</w:t>
            </w:r>
          </w:p>
        </w:tc>
        <w:tc>
          <w:tcPr>
            <w:tcW w:w="2967"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Services in relation to financial leasing including hire purchase</w:t>
            </w:r>
          </w:p>
        </w:tc>
        <w:tc>
          <w:tcPr>
            <w:tcW w:w="720"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center"/>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10</w:t>
            </w:r>
          </w:p>
        </w:tc>
        <w:tc>
          <w:tcPr>
            <w:tcW w:w="4500"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center"/>
              <w:rPr>
                <w:rFonts w:ascii="Cambria" w:eastAsia="Times New Roman" w:hAnsi="Cambria" w:cs="Times New Roman"/>
                <w:color w:val="3E3E3E"/>
                <w:lang w:eastAsia="en-GB"/>
              </w:rPr>
            </w:pPr>
            <w:r w:rsidRPr="008F0127">
              <w:rPr>
                <w:rFonts w:ascii="Cambria" w:eastAsia="Times New Roman" w:hAnsi="Cambria" w:cs="Times New Roman"/>
                <w:i/>
                <w:iCs/>
                <w:color w:val="3E3E3E"/>
                <w:lang w:eastAsia="en-GB"/>
              </w:rPr>
              <w:t>Nil</w:t>
            </w:r>
          </w:p>
        </w:tc>
      </w:tr>
      <w:tr w:rsidR="008F0127" w:rsidRPr="008F0127" w:rsidTr="008F0127">
        <w:tc>
          <w:tcPr>
            <w:tcW w:w="805"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center"/>
              <w:rPr>
                <w:rFonts w:ascii="Cambria" w:eastAsia="Times New Roman" w:hAnsi="Cambria" w:cs="Times New Roman"/>
                <w:i/>
                <w:color w:val="3E3E3E"/>
                <w:lang w:eastAsia="en-GB"/>
              </w:rPr>
            </w:pPr>
            <w:r w:rsidRPr="008F0127">
              <w:rPr>
                <w:rFonts w:ascii="Cambria" w:eastAsia="Times New Roman" w:hAnsi="Cambria" w:cs="Times New Roman"/>
                <w:i/>
                <w:color w:val="3E3E3E"/>
                <w:lang w:eastAsia="en-GB"/>
              </w:rPr>
              <w:t>2</w:t>
            </w:r>
          </w:p>
        </w:tc>
        <w:tc>
          <w:tcPr>
            <w:tcW w:w="2967"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both"/>
              <w:rPr>
                <w:rFonts w:ascii="Cambria" w:eastAsia="Times New Roman" w:hAnsi="Cambria" w:cs="Times New Roman"/>
                <w:i/>
                <w:color w:val="3E3E3E"/>
                <w:lang w:eastAsia="en-GB"/>
              </w:rPr>
            </w:pPr>
            <w:r w:rsidRPr="008F0127">
              <w:rPr>
                <w:rFonts w:ascii="Cambria" w:hAnsi="Cambria"/>
                <w:i/>
              </w:rPr>
              <w:t>Transport of goods by rail (other than service specified at Sl. No. 2A below)</w:t>
            </w:r>
          </w:p>
        </w:tc>
        <w:tc>
          <w:tcPr>
            <w:tcW w:w="720"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center"/>
              <w:rPr>
                <w:rFonts w:ascii="Cambria" w:eastAsia="Times New Roman" w:hAnsi="Cambria" w:cs="Times New Roman"/>
                <w:i/>
                <w:color w:val="3E3E3E"/>
                <w:lang w:eastAsia="en-GB"/>
              </w:rPr>
            </w:pPr>
            <w:r w:rsidRPr="008F0127">
              <w:rPr>
                <w:rFonts w:ascii="Cambria" w:eastAsia="Times New Roman" w:hAnsi="Cambria" w:cs="Times New Roman"/>
                <w:i/>
                <w:color w:val="3E3E3E"/>
                <w:lang w:eastAsia="en-GB"/>
              </w:rPr>
              <w:t>30</w:t>
            </w:r>
          </w:p>
        </w:tc>
        <w:tc>
          <w:tcPr>
            <w:tcW w:w="4500"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both"/>
              <w:rPr>
                <w:rFonts w:ascii="Cambria" w:eastAsia="Times New Roman" w:hAnsi="Cambria" w:cs="Times New Roman"/>
                <w:i/>
                <w:color w:val="3E3E3E"/>
                <w:lang w:eastAsia="en-GB"/>
              </w:rPr>
            </w:pPr>
            <w:hyperlink r:id="rId5" w:history="1">
              <w:r w:rsidRPr="008F0127">
                <w:rPr>
                  <w:rFonts w:ascii="Cambria" w:eastAsia="Times New Roman" w:hAnsi="Cambria" w:cs="Times New Roman"/>
                  <w:i/>
                  <w:color w:val="0000FF"/>
                  <w:u w:val="single"/>
                  <w:vertAlign w:val="superscript"/>
                  <w:lang w:eastAsia="en-GB"/>
                </w:rPr>
                <w:t>1</w:t>
              </w:r>
            </w:hyperlink>
            <w:r w:rsidRPr="008F0127">
              <w:rPr>
                <w:rFonts w:ascii="Cambria" w:eastAsia="Times New Roman" w:hAnsi="Cambria" w:cs="Times New Roman"/>
                <w:i/>
                <w:color w:val="3E3E3E"/>
                <w:lang w:eastAsia="en-GB"/>
              </w:rPr>
              <w:t> </w:t>
            </w:r>
            <w:r w:rsidRPr="008F0127">
              <w:rPr>
                <w:rFonts w:ascii="Cambria" w:eastAsia="Times New Roman" w:hAnsi="Cambria" w:cs="Times New Roman"/>
                <w:b/>
                <w:bCs/>
                <w:i/>
                <w:color w:val="3E3E3E"/>
                <w:lang w:eastAsia="en-GB"/>
              </w:rPr>
              <w:t>[</w:t>
            </w:r>
            <w:r w:rsidRPr="008F0127">
              <w:rPr>
                <w:rFonts w:ascii="Cambria" w:eastAsia="Times New Roman" w:hAnsi="Cambria" w:cs="Times New Roman"/>
                <w:i/>
                <w:color w:val="3E3E3E"/>
                <w:lang w:eastAsia="en-GB"/>
              </w:rPr>
              <w:t> </w:t>
            </w:r>
            <w:r w:rsidRPr="008F0127">
              <w:rPr>
                <w:rFonts w:ascii="Cambria" w:eastAsia="Times New Roman" w:hAnsi="Cambria" w:cs="Times New Roman"/>
                <w:i/>
                <w:iCs/>
                <w:color w:val="3E3E3E"/>
                <w:lang w:eastAsia="en-GB"/>
              </w:rPr>
              <w:t>CENVAT credit on inputs, capital goods and input services, used for providing the taxable service, has not been taken under the provisions of the CENVAT Credit Rules, 2004.</w:t>
            </w:r>
            <w:r w:rsidRPr="008F0127">
              <w:rPr>
                <w:rFonts w:ascii="Cambria" w:eastAsia="Times New Roman" w:hAnsi="Cambria" w:cs="Times New Roman"/>
                <w:i/>
                <w:color w:val="3E3E3E"/>
                <w:lang w:eastAsia="en-GB"/>
              </w:rPr>
              <w:t> </w:t>
            </w:r>
            <w:r w:rsidRPr="008F0127">
              <w:rPr>
                <w:rFonts w:ascii="Cambria" w:eastAsia="Times New Roman" w:hAnsi="Cambria" w:cs="Times New Roman"/>
                <w:b/>
                <w:bCs/>
                <w:i/>
                <w:color w:val="3E3E3E"/>
                <w:lang w:eastAsia="en-GB"/>
              </w:rPr>
              <w:t>]</w:t>
            </w:r>
          </w:p>
        </w:tc>
      </w:tr>
      <w:tr w:rsidR="008F0127" w:rsidRPr="008F0127" w:rsidTr="008F0127">
        <w:tc>
          <w:tcPr>
            <w:tcW w:w="805" w:type="dxa"/>
            <w:tcBorders>
              <w:top w:val="single" w:sz="6" w:space="0" w:color="000000"/>
              <w:left w:val="single" w:sz="6" w:space="0" w:color="000000"/>
              <w:bottom w:val="single" w:sz="6" w:space="0" w:color="000000"/>
              <w:right w:val="single" w:sz="6" w:space="0" w:color="000000"/>
            </w:tcBorders>
          </w:tcPr>
          <w:p w:rsidR="008F0127" w:rsidRPr="008F0127" w:rsidRDefault="008F0127" w:rsidP="008F0127">
            <w:pPr>
              <w:spacing w:after="80" w:line="240" w:lineRule="auto"/>
              <w:jc w:val="center"/>
              <w:rPr>
                <w:rFonts w:ascii="Cambria" w:eastAsia="Times New Roman" w:hAnsi="Cambria" w:cs="Times New Roman"/>
                <w:i/>
                <w:color w:val="3E3E3E"/>
                <w:lang w:eastAsia="en-GB"/>
              </w:rPr>
            </w:pPr>
            <w:r w:rsidRPr="008F0127">
              <w:rPr>
                <w:rFonts w:ascii="Cambria" w:eastAsia="Times New Roman" w:hAnsi="Cambria" w:cs="Times New Roman"/>
                <w:i/>
                <w:color w:val="3E3E3E"/>
                <w:lang w:eastAsia="en-GB"/>
              </w:rPr>
              <w:t>2A</w:t>
            </w:r>
          </w:p>
        </w:tc>
        <w:tc>
          <w:tcPr>
            <w:tcW w:w="2967" w:type="dxa"/>
            <w:tcBorders>
              <w:top w:val="single" w:sz="6" w:space="0" w:color="000000"/>
              <w:left w:val="single" w:sz="6" w:space="0" w:color="000000"/>
              <w:bottom w:val="single" w:sz="6" w:space="0" w:color="000000"/>
              <w:right w:val="single" w:sz="6" w:space="0" w:color="000000"/>
            </w:tcBorders>
          </w:tcPr>
          <w:p w:rsidR="008F0127" w:rsidRPr="008F0127" w:rsidRDefault="008F0127" w:rsidP="008F0127">
            <w:pPr>
              <w:spacing w:after="80" w:line="240" w:lineRule="auto"/>
              <w:jc w:val="both"/>
              <w:rPr>
                <w:rFonts w:ascii="Cambria" w:eastAsia="Times New Roman" w:hAnsi="Cambria" w:cs="Times New Roman"/>
                <w:i/>
                <w:color w:val="3E3E3E"/>
                <w:lang w:eastAsia="en-GB"/>
              </w:rPr>
            </w:pPr>
            <w:r w:rsidRPr="008F0127">
              <w:rPr>
                <w:rFonts w:ascii="Cambria" w:hAnsi="Cambria"/>
                <w:i/>
              </w:rPr>
              <w:t>Transport of goods in containers by rail by any person other than Indian Railways</w:t>
            </w:r>
          </w:p>
        </w:tc>
        <w:tc>
          <w:tcPr>
            <w:tcW w:w="720" w:type="dxa"/>
            <w:tcBorders>
              <w:top w:val="single" w:sz="6" w:space="0" w:color="000000"/>
              <w:left w:val="single" w:sz="6" w:space="0" w:color="000000"/>
              <w:bottom w:val="single" w:sz="6" w:space="0" w:color="000000"/>
              <w:right w:val="single" w:sz="6" w:space="0" w:color="000000"/>
            </w:tcBorders>
          </w:tcPr>
          <w:p w:rsidR="008F0127" w:rsidRPr="008F0127" w:rsidRDefault="008F0127" w:rsidP="008F0127">
            <w:pPr>
              <w:spacing w:after="80" w:line="240" w:lineRule="auto"/>
              <w:jc w:val="center"/>
              <w:rPr>
                <w:rFonts w:ascii="Cambria" w:eastAsia="Times New Roman" w:hAnsi="Cambria" w:cs="Times New Roman"/>
                <w:i/>
                <w:color w:val="3E3E3E"/>
                <w:lang w:eastAsia="en-GB"/>
              </w:rPr>
            </w:pPr>
            <w:r w:rsidRPr="008F0127">
              <w:rPr>
                <w:rFonts w:ascii="Cambria" w:eastAsia="Times New Roman" w:hAnsi="Cambria" w:cs="Times New Roman"/>
                <w:i/>
                <w:color w:val="3E3E3E"/>
                <w:lang w:eastAsia="en-GB"/>
              </w:rPr>
              <w:t>40</w:t>
            </w:r>
          </w:p>
        </w:tc>
        <w:tc>
          <w:tcPr>
            <w:tcW w:w="4500" w:type="dxa"/>
            <w:tcBorders>
              <w:top w:val="single" w:sz="6" w:space="0" w:color="000000"/>
              <w:left w:val="single" w:sz="6" w:space="0" w:color="000000"/>
              <w:bottom w:val="single" w:sz="6" w:space="0" w:color="000000"/>
              <w:right w:val="single" w:sz="6" w:space="0" w:color="000000"/>
            </w:tcBorders>
          </w:tcPr>
          <w:p w:rsidR="008F0127" w:rsidRPr="008F0127" w:rsidRDefault="008F0127" w:rsidP="008F0127">
            <w:pPr>
              <w:spacing w:after="80" w:line="240" w:lineRule="auto"/>
              <w:jc w:val="both"/>
              <w:rPr>
                <w:rFonts w:ascii="Cambria" w:eastAsia="Times New Roman" w:hAnsi="Cambria" w:cs="Times New Roman"/>
                <w:i/>
                <w:color w:val="3E3E3E"/>
                <w:vertAlign w:val="superscript"/>
                <w:lang w:eastAsia="en-GB"/>
              </w:rPr>
            </w:pPr>
            <w:r w:rsidRPr="008F0127">
              <w:rPr>
                <w:rFonts w:ascii="Cambria" w:hAnsi="Cambria"/>
                <w:i/>
              </w:rPr>
              <w:t>CENVAT credit on inputs and capital goods, used for providing the taxable service, has not been taken under the provisions of the CENVAT Credit Rules, 2004.”;</w:t>
            </w:r>
          </w:p>
        </w:tc>
      </w:tr>
      <w:tr w:rsidR="008F0127" w:rsidRPr="008F0127" w:rsidTr="008F0127">
        <w:tc>
          <w:tcPr>
            <w:tcW w:w="805"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center"/>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3</w:t>
            </w:r>
          </w:p>
        </w:tc>
        <w:tc>
          <w:tcPr>
            <w:tcW w:w="2967"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Transport of passengers, with or without accompanied belongings by rail</w:t>
            </w:r>
          </w:p>
        </w:tc>
        <w:tc>
          <w:tcPr>
            <w:tcW w:w="720"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center"/>
              <w:rPr>
                <w:rFonts w:ascii="Cambria" w:hAnsi="Cambria"/>
              </w:rPr>
            </w:pPr>
            <w:r w:rsidRPr="008F0127">
              <w:rPr>
                <w:rFonts w:ascii="Cambria" w:hAnsi="Cambria"/>
              </w:rPr>
              <w:t>30</w:t>
            </w:r>
          </w:p>
        </w:tc>
        <w:tc>
          <w:tcPr>
            <w:tcW w:w="4500"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both"/>
              <w:rPr>
                <w:rFonts w:ascii="Cambria" w:hAnsi="Cambria"/>
                <w:i/>
              </w:rPr>
            </w:pPr>
            <w:r w:rsidRPr="008F0127">
              <w:rPr>
                <w:rFonts w:ascii="Cambria" w:hAnsi="Cambria"/>
                <w:i/>
              </w:rPr>
              <w:t>“CENVAT credit on inputs and capital goods, used for providing the taxable service, has not been taken under the provisions of the CENVAT Credit Rules, 2004</w:t>
            </w:r>
          </w:p>
        </w:tc>
      </w:tr>
      <w:tr w:rsidR="008F0127" w:rsidRPr="008F0127" w:rsidTr="008F0127">
        <w:tc>
          <w:tcPr>
            <w:tcW w:w="805"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center"/>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4</w:t>
            </w:r>
          </w:p>
        </w:tc>
        <w:tc>
          <w:tcPr>
            <w:tcW w:w="2967"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 xml:space="preserve">Bundled service by way of supply of food or any other article of human consumption or any drink, in a premises (including hotel, convention </w:t>
            </w:r>
            <w:proofErr w:type="spellStart"/>
            <w:r w:rsidRPr="008F0127">
              <w:rPr>
                <w:rFonts w:ascii="Cambria" w:eastAsia="Times New Roman" w:hAnsi="Cambria" w:cs="Times New Roman"/>
                <w:color w:val="3E3E3E"/>
                <w:lang w:eastAsia="en-GB"/>
              </w:rPr>
              <w:t>center</w:t>
            </w:r>
            <w:proofErr w:type="spellEnd"/>
            <w:r w:rsidRPr="008F0127">
              <w:rPr>
                <w:rFonts w:ascii="Cambria" w:eastAsia="Times New Roman" w:hAnsi="Cambria" w:cs="Times New Roman"/>
                <w:color w:val="3E3E3E"/>
                <w:lang w:eastAsia="en-GB"/>
              </w:rPr>
              <w:t xml:space="preserve">, club, </w:t>
            </w:r>
            <w:proofErr w:type="spellStart"/>
            <w:r w:rsidRPr="008F0127">
              <w:rPr>
                <w:rFonts w:ascii="Cambria" w:eastAsia="Times New Roman" w:hAnsi="Cambria" w:cs="Times New Roman"/>
                <w:color w:val="3E3E3E"/>
                <w:lang w:eastAsia="en-GB"/>
              </w:rPr>
              <w:t>pandal</w:t>
            </w:r>
            <w:proofErr w:type="spellEnd"/>
            <w:r w:rsidRPr="008F0127">
              <w:rPr>
                <w:rFonts w:ascii="Cambria" w:eastAsia="Times New Roman" w:hAnsi="Cambria" w:cs="Times New Roman"/>
                <w:color w:val="3E3E3E"/>
                <w:lang w:eastAsia="en-GB"/>
              </w:rPr>
              <w:t xml:space="preserve">, </w:t>
            </w:r>
            <w:proofErr w:type="spellStart"/>
            <w:r w:rsidRPr="008F0127">
              <w:rPr>
                <w:rFonts w:ascii="Cambria" w:eastAsia="Times New Roman" w:hAnsi="Cambria" w:cs="Times New Roman"/>
                <w:color w:val="3E3E3E"/>
                <w:lang w:eastAsia="en-GB"/>
              </w:rPr>
              <w:t>shamiana</w:t>
            </w:r>
            <w:proofErr w:type="spellEnd"/>
            <w:r w:rsidRPr="008F0127">
              <w:rPr>
                <w:rFonts w:ascii="Cambria" w:eastAsia="Times New Roman" w:hAnsi="Cambria" w:cs="Times New Roman"/>
                <w:color w:val="3E3E3E"/>
                <w:lang w:eastAsia="en-GB"/>
              </w:rPr>
              <w:t xml:space="preserve"> or any other place, specially arranged for organizing a function) together with renting of such premises</w:t>
            </w:r>
          </w:p>
        </w:tc>
        <w:tc>
          <w:tcPr>
            <w:tcW w:w="720"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center"/>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70</w:t>
            </w:r>
          </w:p>
        </w:tc>
        <w:tc>
          <w:tcPr>
            <w:tcW w:w="4500" w:type="dxa"/>
            <w:tcBorders>
              <w:top w:val="single" w:sz="6" w:space="0" w:color="000000"/>
              <w:left w:val="single" w:sz="6" w:space="0" w:color="000000"/>
              <w:bottom w:val="single" w:sz="6" w:space="0" w:color="000000"/>
              <w:right w:val="single" w:sz="6" w:space="0" w:color="000000"/>
            </w:tcBorders>
            <w:hideMark/>
          </w:tcPr>
          <w:p w:rsidR="008F0127" w:rsidRPr="008F0127" w:rsidRDefault="008F0127" w:rsidP="008F0127">
            <w:pPr>
              <w:spacing w:after="8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w:t>
            </w:r>
            <w:proofErr w:type="spellStart"/>
            <w:r w:rsidRPr="008F0127">
              <w:rPr>
                <w:rFonts w:ascii="Cambria" w:eastAsia="Times New Roman" w:hAnsi="Cambria" w:cs="Times New Roman"/>
                <w:i/>
                <w:iCs/>
                <w:color w:val="3E3E3E"/>
                <w:lang w:eastAsia="en-GB"/>
              </w:rPr>
              <w:t>i</w:t>
            </w:r>
            <w:proofErr w:type="spellEnd"/>
            <w:r w:rsidRPr="008F0127">
              <w:rPr>
                <w:rFonts w:ascii="Cambria" w:eastAsia="Times New Roman" w:hAnsi="Cambria" w:cs="Times New Roman"/>
                <w:color w:val="3E3E3E"/>
                <w:lang w:eastAsia="en-GB"/>
              </w:rPr>
              <w:t>) CENVAT credit on any goods classifiable under Chapters 1 to 22 of the Central Excise Tariff Act, 1985 (5 of 1986) used for providing the taxable service, has not been taken under the provisions of the CENVAT Credit Rules, 2004.</w:t>
            </w:r>
          </w:p>
        </w:tc>
      </w:tr>
      <w:tr w:rsidR="008F0127" w:rsidRPr="008F0127" w:rsidTr="008F0127">
        <w:tc>
          <w:tcPr>
            <w:tcW w:w="805" w:type="dxa"/>
            <w:vMerge w:val="restart"/>
            <w:tcBorders>
              <w:top w:val="single" w:sz="2" w:space="0" w:color="FFFFFF"/>
              <w:left w:val="single" w:sz="6" w:space="0" w:color="000000"/>
              <w:right w:val="single" w:sz="6" w:space="0" w:color="000000"/>
            </w:tcBorders>
            <w:hideMark/>
          </w:tcPr>
          <w:p w:rsidR="008F0127" w:rsidRPr="008F0127" w:rsidRDefault="008F0127" w:rsidP="008F0127">
            <w:pPr>
              <w:spacing w:after="0" w:line="240" w:lineRule="auto"/>
              <w:jc w:val="center"/>
              <w:rPr>
                <w:rFonts w:ascii="Cambria" w:eastAsia="Times New Roman" w:hAnsi="Cambria" w:cs="Times New Roman"/>
                <w:color w:val="3E3E3E"/>
                <w:lang w:eastAsia="en-GB"/>
              </w:rPr>
            </w:pPr>
            <w:hyperlink r:id="rId6" w:history="1">
              <w:r w:rsidRPr="008F0127">
                <w:rPr>
                  <w:rFonts w:ascii="Cambria" w:eastAsia="Times New Roman" w:hAnsi="Cambria" w:cs="Times New Roman"/>
                  <w:color w:val="0000FF"/>
                  <w:u w:val="single"/>
                  <w:vertAlign w:val="superscript"/>
                  <w:lang w:eastAsia="en-GB"/>
                </w:rPr>
                <w:t>1</w:t>
              </w:r>
            </w:hyperlink>
            <w:r w:rsidRPr="008F0127">
              <w:rPr>
                <w:rFonts w:ascii="Cambria" w:eastAsia="Times New Roman" w:hAnsi="Cambria" w:cs="Times New Roman"/>
                <w:color w:val="3E3E3E"/>
                <w:lang w:eastAsia="en-GB"/>
              </w:rPr>
              <w:t> </w:t>
            </w:r>
            <w:r w:rsidRPr="008F0127">
              <w:rPr>
                <w:rFonts w:ascii="Cambria" w:eastAsia="Times New Roman" w:hAnsi="Cambria" w:cs="Times New Roman"/>
                <w:b/>
                <w:bCs/>
                <w:color w:val="3E3E3E"/>
                <w:lang w:eastAsia="en-GB"/>
              </w:rPr>
              <w:t>[</w:t>
            </w:r>
            <w:r w:rsidRPr="008F0127">
              <w:rPr>
                <w:rFonts w:ascii="Cambria" w:eastAsia="Times New Roman" w:hAnsi="Cambria" w:cs="Times New Roman"/>
                <w:color w:val="3E3E3E"/>
                <w:lang w:eastAsia="en-GB"/>
              </w:rPr>
              <w:t> </w:t>
            </w:r>
            <w:r w:rsidRPr="008F0127">
              <w:rPr>
                <w:rFonts w:ascii="Cambria" w:eastAsia="Times New Roman" w:hAnsi="Cambria" w:cs="Times New Roman"/>
                <w:i/>
                <w:iCs/>
                <w:color w:val="3E3E3E"/>
                <w:lang w:eastAsia="en-GB"/>
              </w:rPr>
              <w:t>5</w:t>
            </w:r>
          </w:p>
        </w:tc>
        <w:tc>
          <w:tcPr>
            <w:tcW w:w="2967" w:type="dxa"/>
            <w:tcBorders>
              <w:top w:val="single" w:sz="2" w:space="0" w:color="FFFFFF"/>
              <w:left w:val="single" w:sz="6" w:space="0" w:color="000000"/>
              <w:right w:val="single" w:sz="6" w:space="0" w:color="000000"/>
            </w:tcBorders>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i/>
                <w:iCs/>
                <w:color w:val="3E3E3E"/>
                <w:lang w:eastAsia="en-GB"/>
              </w:rPr>
              <w:t>Transport of passengers by air, with or without accompanied belongings in</w:t>
            </w:r>
          </w:p>
        </w:tc>
        <w:tc>
          <w:tcPr>
            <w:tcW w:w="720" w:type="dxa"/>
            <w:tcBorders>
              <w:top w:val="single" w:sz="2" w:space="0" w:color="FFFFFF"/>
              <w:left w:val="single" w:sz="6" w:space="0" w:color="000000"/>
              <w:right w:val="single" w:sz="6" w:space="0" w:color="000000"/>
            </w:tcBorders>
            <w:hideMark/>
          </w:tcPr>
          <w:p w:rsidR="008F0127" w:rsidRPr="008F0127" w:rsidRDefault="008F0127" w:rsidP="008F0127">
            <w:pPr>
              <w:spacing w:after="0" w:line="240" w:lineRule="auto"/>
              <w:rPr>
                <w:rFonts w:ascii="Cambria" w:eastAsia="Times New Roman" w:hAnsi="Cambria" w:cs="Times New Roman"/>
                <w:color w:val="3E3E3E"/>
                <w:lang w:eastAsia="en-GB"/>
              </w:rPr>
            </w:pPr>
          </w:p>
        </w:tc>
        <w:tc>
          <w:tcPr>
            <w:tcW w:w="4500" w:type="dxa"/>
            <w:vMerge w:val="restart"/>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i/>
                <w:iCs/>
                <w:color w:val="3E3E3E"/>
                <w:lang w:eastAsia="en-GB"/>
              </w:rPr>
              <w:t>CENVAT credit on inputs and capital goods, used for providing the taxable service, has not been taken under the provisions of the CENVAT Credit Rules, 2004.</w:t>
            </w:r>
            <w:r w:rsidRPr="008F0127">
              <w:rPr>
                <w:rFonts w:ascii="Cambria" w:eastAsia="Times New Roman" w:hAnsi="Cambria" w:cs="Times New Roman"/>
                <w:color w:val="3E3E3E"/>
                <w:lang w:eastAsia="en-GB"/>
              </w:rPr>
              <w:t> </w:t>
            </w:r>
            <w:r w:rsidRPr="008F0127">
              <w:rPr>
                <w:rFonts w:ascii="Cambria" w:eastAsia="Times New Roman" w:hAnsi="Cambria" w:cs="Times New Roman"/>
                <w:b/>
                <w:bCs/>
                <w:color w:val="3E3E3E"/>
                <w:lang w:eastAsia="en-GB"/>
              </w:rPr>
              <w:t>]</w:t>
            </w:r>
          </w:p>
        </w:tc>
      </w:tr>
      <w:tr w:rsidR="008F0127" w:rsidRPr="008F0127" w:rsidTr="008F0127">
        <w:tc>
          <w:tcPr>
            <w:tcW w:w="805" w:type="dxa"/>
            <w:vMerge/>
            <w:tcBorders>
              <w:top w:val="single" w:sz="2" w:space="0" w:color="FFFFFF"/>
              <w:left w:val="single" w:sz="6" w:space="0" w:color="000000"/>
              <w:right w:val="single" w:sz="6" w:space="0" w:color="000000"/>
            </w:tcBorders>
            <w:vAlign w:val="center"/>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p>
        </w:tc>
        <w:tc>
          <w:tcPr>
            <w:tcW w:w="2967" w:type="dxa"/>
            <w:tcBorders>
              <w:top w:val="single" w:sz="2" w:space="0" w:color="FFFFFF"/>
              <w:left w:val="single" w:sz="6" w:space="0" w:color="000000"/>
              <w:right w:val="single" w:sz="6" w:space="0" w:color="000000"/>
            </w:tcBorders>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i/>
                <w:iCs/>
                <w:color w:val="3E3E3E"/>
                <w:lang w:eastAsia="en-GB"/>
              </w:rPr>
              <w:t>(</w:t>
            </w:r>
            <w:proofErr w:type="spellStart"/>
            <w:r w:rsidRPr="008F0127">
              <w:rPr>
                <w:rFonts w:ascii="Cambria" w:eastAsia="Times New Roman" w:hAnsi="Cambria" w:cs="Times New Roman"/>
                <w:i/>
                <w:iCs/>
                <w:color w:val="3E3E3E"/>
                <w:lang w:eastAsia="en-GB"/>
              </w:rPr>
              <w:t>i</w:t>
            </w:r>
            <w:proofErr w:type="spellEnd"/>
            <w:r w:rsidRPr="008F0127">
              <w:rPr>
                <w:rFonts w:ascii="Cambria" w:eastAsia="Times New Roman" w:hAnsi="Cambria" w:cs="Times New Roman"/>
                <w:i/>
                <w:iCs/>
                <w:color w:val="3E3E3E"/>
                <w:lang w:eastAsia="en-GB"/>
              </w:rPr>
              <w:t>) economy class</w:t>
            </w:r>
          </w:p>
        </w:tc>
        <w:tc>
          <w:tcPr>
            <w:tcW w:w="720" w:type="dxa"/>
            <w:tcBorders>
              <w:top w:val="single" w:sz="2" w:space="0" w:color="FFFFFF"/>
              <w:left w:val="single" w:sz="6" w:space="0" w:color="000000"/>
              <w:right w:val="single" w:sz="6" w:space="0" w:color="000000"/>
            </w:tcBorders>
            <w:hideMark/>
          </w:tcPr>
          <w:p w:rsidR="008F0127" w:rsidRPr="008F0127" w:rsidRDefault="008F0127" w:rsidP="008F0127">
            <w:pPr>
              <w:spacing w:after="0" w:line="240" w:lineRule="auto"/>
              <w:jc w:val="center"/>
              <w:rPr>
                <w:rFonts w:ascii="Cambria" w:eastAsia="Times New Roman" w:hAnsi="Cambria" w:cs="Times New Roman"/>
                <w:color w:val="3E3E3E"/>
                <w:lang w:eastAsia="en-GB"/>
              </w:rPr>
            </w:pPr>
            <w:r w:rsidRPr="008F0127">
              <w:rPr>
                <w:rFonts w:ascii="Cambria" w:eastAsia="Times New Roman" w:hAnsi="Cambria" w:cs="Times New Roman"/>
                <w:i/>
                <w:iCs/>
                <w:color w:val="3E3E3E"/>
                <w:lang w:eastAsia="en-GB"/>
              </w:rPr>
              <w:t>40</w:t>
            </w:r>
          </w:p>
        </w:tc>
        <w:tc>
          <w:tcPr>
            <w:tcW w:w="4500" w:type="dxa"/>
            <w:vMerge/>
            <w:tcBorders>
              <w:top w:val="single" w:sz="2" w:space="0" w:color="FFFFFF"/>
              <w:left w:val="single" w:sz="6" w:space="0" w:color="000000"/>
              <w:bottom w:val="single" w:sz="6" w:space="0" w:color="000000"/>
              <w:right w:val="single" w:sz="6" w:space="0" w:color="000000"/>
            </w:tcBorders>
            <w:vAlign w:val="center"/>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p>
        </w:tc>
      </w:tr>
      <w:tr w:rsidR="008F0127" w:rsidRPr="008F0127" w:rsidTr="008F0127">
        <w:tc>
          <w:tcPr>
            <w:tcW w:w="805" w:type="dxa"/>
            <w:vMerge/>
            <w:tcBorders>
              <w:top w:val="single" w:sz="2" w:space="0" w:color="FFFFFF"/>
              <w:left w:val="single" w:sz="6" w:space="0" w:color="000000"/>
              <w:right w:val="single" w:sz="6" w:space="0" w:color="000000"/>
            </w:tcBorders>
            <w:vAlign w:val="center"/>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p>
        </w:tc>
        <w:tc>
          <w:tcPr>
            <w:tcW w:w="2967"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i/>
                <w:iCs/>
                <w:color w:val="3E3E3E"/>
                <w:lang w:eastAsia="en-GB"/>
              </w:rPr>
              <w:t>(ii) other than economy class</w:t>
            </w:r>
          </w:p>
        </w:tc>
        <w:tc>
          <w:tcPr>
            <w:tcW w:w="720"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center"/>
              <w:rPr>
                <w:rFonts w:ascii="Cambria" w:eastAsia="Times New Roman" w:hAnsi="Cambria" w:cs="Times New Roman"/>
                <w:i/>
                <w:iCs/>
                <w:color w:val="3E3E3E"/>
                <w:lang w:eastAsia="en-GB"/>
              </w:rPr>
            </w:pPr>
            <w:r w:rsidRPr="008F0127">
              <w:rPr>
                <w:rFonts w:ascii="Cambria" w:eastAsia="Times New Roman" w:hAnsi="Cambria" w:cs="Times New Roman"/>
                <w:i/>
                <w:iCs/>
                <w:color w:val="3E3E3E"/>
                <w:lang w:eastAsia="en-GB"/>
              </w:rPr>
              <w:t>60</w:t>
            </w:r>
          </w:p>
        </w:tc>
        <w:tc>
          <w:tcPr>
            <w:tcW w:w="4500" w:type="dxa"/>
            <w:vMerge/>
            <w:tcBorders>
              <w:top w:val="single" w:sz="2" w:space="0" w:color="FFFFFF"/>
              <w:left w:val="single" w:sz="6" w:space="0" w:color="000000"/>
              <w:bottom w:val="single" w:sz="6" w:space="0" w:color="000000"/>
              <w:right w:val="single" w:sz="6" w:space="0" w:color="000000"/>
            </w:tcBorders>
            <w:vAlign w:val="center"/>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p>
        </w:tc>
      </w:tr>
      <w:tr w:rsidR="008F0127" w:rsidRPr="008F0127" w:rsidTr="008F0127">
        <w:tc>
          <w:tcPr>
            <w:tcW w:w="805"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center"/>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6</w:t>
            </w:r>
          </w:p>
        </w:tc>
        <w:tc>
          <w:tcPr>
            <w:tcW w:w="2967"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Renting of hotels, inns, guest houses, clubs, campsites or other commercial places meant for residential or lodging purposes.</w:t>
            </w:r>
          </w:p>
        </w:tc>
        <w:tc>
          <w:tcPr>
            <w:tcW w:w="720"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center"/>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60</w:t>
            </w:r>
          </w:p>
        </w:tc>
        <w:tc>
          <w:tcPr>
            <w:tcW w:w="4500"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Same as above.</w:t>
            </w:r>
          </w:p>
        </w:tc>
      </w:tr>
      <w:tr w:rsidR="008F0127" w:rsidRPr="008F0127" w:rsidTr="008F0127">
        <w:tc>
          <w:tcPr>
            <w:tcW w:w="805"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center"/>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7</w:t>
            </w:r>
          </w:p>
        </w:tc>
        <w:tc>
          <w:tcPr>
            <w:tcW w:w="2967"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both"/>
              <w:rPr>
                <w:rFonts w:ascii="Cambria" w:eastAsia="Times New Roman" w:hAnsi="Cambria" w:cs="Times New Roman"/>
                <w:i/>
                <w:color w:val="3E3E3E"/>
                <w:lang w:eastAsia="en-GB"/>
              </w:rPr>
            </w:pPr>
            <w:r w:rsidRPr="008F0127">
              <w:rPr>
                <w:rFonts w:ascii="Cambria" w:hAnsi="Cambria"/>
                <w:i/>
              </w:rPr>
              <w:t>Services of goods transport agency in relation to transportation of goods other than used household goods.</w:t>
            </w:r>
          </w:p>
        </w:tc>
        <w:tc>
          <w:tcPr>
            <w:tcW w:w="720"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center"/>
              <w:rPr>
                <w:rFonts w:ascii="Cambria" w:eastAsia="Times New Roman" w:hAnsi="Cambria" w:cs="Times New Roman"/>
                <w:color w:val="3E3E3E"/>
                <w:lang w:eastAsia="en-GB"/>
              </w:rPr>
            </w:pPr>
            <w:hyperlink r:id="rId7" w:history="1">
              <w:r w:rsidRPr="008F0127">
                <w:rPr>
                  <w:rFonts w:ascii="Cambria" w:eastAsia="Times New Roman" w:hAnsi="Cambria" w:cs="Times New Roman"/>
                  <w:color w:val="0000FF"/>
                  <w:u w:val="single"/>
                  <w:vertAlign w:val="superscript"/>
                  <w:lang w:eastAsia="en-GB"/>
                </w:rPr>
                <w:t>3</w:t>
              </w:r>
            </w:hyperlink>
            <w:r w:rsidRPr="008F0127">
              <w:rPr>
                <w:rFonts w:ascii="Cambria" w:eastAsia="Times New Roman" w:hAnsi="Cambria" w:cs="Times New Roman"/>
                <w:color w:val="3E3E3E"/>
                <w:lang w:eastAsia="en-GB"/>
              </w:rPr>
              <w:t> </w:t>
            </w:r>
            <w:r w:rsidRPr="008F0127">
              <w:rPr>
                <w:rFonts w:ascii="Cambria" w:eastAsia="Times New Roman" w:hAnsi="Cambria" w:cs="Times New Roman"/>
                <w:b/>
                <w:bCs/>
                <w:color w:val="3E3E3E"/>
                <w:lang w:eastAsia="en-GB"/>
              </w:rPr>
              <w:t>[</w:t>
            </w:r>
            <w:r w:rsidRPr="008F0127">
              <w:rPr>
                <w:rFonts w:ascii="Cambria" w:eastAsia="Times New Roman" w:hAnsi="Cambria" w:cs="Times New Roman"/>
                <w:color w:val="3E3E3E"/>
                <w:lang w:eastAsia="en-GB"/>
              </w:rPr>
              <w:t> </w:t>
            </w:r>
            <w:r w:rsidRPr="008F0127">
              <w:rPr>
                <w:rFonts w:ascii="Cambria" w:eastAsia="Times New Roman" w:hAnsi="Cambria" w:cs="Times New Roman"/>
                <w:i/>
                <w:iCs/>
                <w:color w:val="3E3E3E"/>
                <w:lang w:eastAsia="en-GB"/>
              </w:rPr>
              <w:t>30</w:t>
            </w:r>
            <w:r w:rsidRPr="008F0127">
              <w:rPr>
                <w:rFonts w:ascii="Cambria" w:eastAsia="Times New Roman" w:hAnsi="Cambria" w:cs="Times New Roman"/>
                <w:color w:val="3E3E3E"/>
                <w:lang w:eastAsia="en-GB"/>
              </w:rPr>
              <w:t> </w:t>
            </w:r>
            <w:r w:rsidRPr="008F0127">
              <w:rPr>
                <w:rFonts w:ascii="Cambria" w:eastAsia="Times New Roman" w:hAnsi="Cambria" w:cs="Times New Roman"/>
                <w:b/>
                <w:bCs/>
                <w:color w:val="3E3E3E"/>
                <w:lang w:eastAsia="en-GB"/>
              </w:rPr>
              <w:t>]</w:t>
            </w:r>
          </w:p>
        </w:tc>
        <w:tc>
          <w:tcPr>
            <w:tcW w:w="4500"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CENVAT credit on inputs, capital goods and input services, used for providing the taxable service, has not been taken </w:t>
            </w:r>
            <w:hyperlink r:id="rId8" w:history="1">
              <w:r w:rsidRPr="008F0127">
                <w:rPr>
                  <w:rFonts w:ascii="Cambria" w:eastAsia="Times New Roman" w:hAnsi="Cambria" w:cs="Times New Roman"/>
                  <w:color w:val="0000FF"/>
                  <w:u w:val="single"/>
                  <w:vertAlign w:val="superscript"/>
                  <w:lang w:eastAsia="en-GB"/>
                </w:rPr>
                <w:t>4</w:t>
              </w:r>
            </w:hyperlink>
            <w:r w:rsidRPr="008F0127">
              <w:rPr>
                <w:rFonts w:ascii="Cambria" w:eastAsia="Times New Roman" w:hAnsi="Cambria" w:cs="Times New Roman"/>
                <w:color w:val="3E3E3E"/>
                <w:lang w:eastAsia="en-GB"/>
              </w:rPr>
              <w:t>[by the service provider] under the provisions of the CENVAT Credit Rules, 2004.</w:t>
            </w:r>
          </w:p>
        </w:tc>
      </w:tr>
      <w:tr w:rsidR="008F0127" w:rsidRPr="008F0127" w:rsidTr="008F0127">
        <w:tc>
          <w:tcPr>
            <w:tcW w:w="805" w:type="dxa"/>
            <w:tcBorders>
              <w:top w:val="single" w:sz="2" w:space="0" w:color="FFFFFF"/>
              <w:left w:val="single" w:sz="6" w:space="0" w:color="000000"/>
              <w:bottom w:val="single" w:sz="6" w:space="0" w:color="000000"/>
              <w:right w:val="single" w:sz="6" w:space="0" w:color="000000"/>
            </w:tcBorders>
          </w:tcPr>
          <w:p w:rsidR="008F0127" w:rsidRPr="008F0127" w:rsidRDefault="008F0127" w:rsidP="008F0127">
            <w:pPr>
              <w:spacing w:after="0" w:line="240" w:lineRule="auto"/>
              <w:jc w:val="center"/>
              <w:rPr>
                <w:rFonts w:ascii="Cambria" w:eastAsia="Times New Roman" w:hAnsi="Cambria" w:cs="Times New Roman"/>
                <w:i/>
                <w:color w:val="3E3E3E"/>
                <w:lang w:eastAsia="en-GB"/>
              </w:rPr>
            </w:pPr>
            <w:r w:rsidRPr="008F0127">
              <w:rPr>
                <w:rFonts w:ascii="Cambria" w:eastAsia="Times New Roman" w:hAnsi="Cambria" w:cs="Times New Roman"/>
                <w:i/>
                <w:color w:val="3E3E3E"/>
                <w:lang w:eastAsia="en-GB"/>
              </w:rPr>
              <w:t>7A</w:t>
            </w:r>
          </w:p>
        </w:tc>
        <w:tc>
          <w:tcPr>
            <w:tcW w:w="2967" w:type="dxa"/>
            <w:tcBorders>
              <w:top w:val="single" w:sz="2" w:space="0" w:color="FFFFFF"/>
              <w:left w:val="single" w:sz="6" w:space="0" w:color="000000"/>
              <w:bottom w:val="single" w:sz="6" w:space="0" w:color="000000"/>
              <w:right w:val="single" w:sz="6" w:space="0" w:color="000000"/>
            </w:tcBorders>
          </w:tcPr>
          <w:p w:rsidR="008F0127" w:rsidRPr="008F0127" w:rsidRDefault="008F0127" w:rsidP="008F0127">
            <w:pPr>
              <w:spacing w:after="0" w:line="240" w:lineRule="auto"/>
              <w:jc w:val="both"/>
              <w:rPr>
                <w:rFonts w:ascii="Cambria" w:eastAsia="Times New Roman" w:hAnsi="Cambria" w:cs="Times New Roman"/>
                <w:i/>
                <w:color w:val="3E3E3E"/>
                <w:lang w:eastAsia="en-GB"/>
              </w:rPr>
            </w:pPr>
            <w:r w:rsidRPr="008F0127">
              <w:rPr>
                <w:i/>
              </w:rPr>
              <w:t>Services of goods transport agency in relation to transportation of used household goods.</w:t>
            </w:r>
          </w:p>
        </w:tc>
        <w:tc>
          <w:tcPr>
            <w:tcW w:w="720" w:type="dxa"/>
            <w:tcBorders>
              <w:top w:val="single" w:sz="2" w:space="0" w:color="FFFFFF"/>
              <w:left w:val="single" w:sz="6" w:space="0" w:color="000000"/>
              <w:bottom w:val="single" w:sz="6" w:space="0" w:color="000000"/>
              <w:right w:val="single" w:sz="6" w:space="0" w:color="000000"/>
            </w:tcBorders>
          </w:tcPr>
          <w:p w:rsidR="008F0127" w:rsidRPr="008F0127" w:rsidRDefault="008F0127" w:rsidP="008F0127">
            <w:pPr>
              <w:spacing w:after="0" w:line="240" w:lineRule="auto"/>
              <w:jc w:val="center"/>
              <w:rPr>
                <w:rFonts w:ascii="Cambria" w:eastAsia="Times New Roman" w:hAnsi="Cambria" w:cs="Times New Roman"/>
                <w:i/>
                <w:color w:val="3E3E3E"/>
                <w:lang w:eastAsia="en-GB"/>
              </w:rPr>
            </w:pPr>
            <w:r w:rsidRPr="008F0127">
              <w:rPr>
                <w:rFonts w:ascii="Cambria" w:eastAsia="Times New Roman" w:hAnsi="Cambria" w:cs="Times New Roman"/>
                <w:i/>
                <w:color w:val="3E3E3E"/>
                <w:lang w:eastAsia="en-GB"/>
              </w:rPr>
              <w:t>40</w:t>
            </w:r>
          </w:p>
        </w:tc>
        <w:tc>
          <w:tcPr>
            <w:tcW w:w="4500" w:type="dxa"/>
            <w:tcBorders>
              <w:top w:val="single" w:sz="2" w:space="0" w:color="FFFFFF"/>
              <w:left w:val="single" w:sz="6" w:space="0" w:color="000000"/>
              <w:bottom w:val="single" w:sz="6" w:space="0" w:color="000000"/>
              <w:right w:val="single" w:sz="6" w:space="0" w:color="000000"/>
            </w:tcBorders>
          </w:tcPr>
          <w:p w:rsidR="008F0127" w:rsidRPr="008F0127" w:rsidRDefault="008F0127" w:rsidP="008F0127">
            <w:pPr>
              <w:spacing w:after="0" w:line="240" w:lineRule="auto"/>
              <w:jc w:val="both"/>
              <w:rPr>
                <w:rFonts w:ascii="Cambria" w:eastAsia="Times New Roman" w:hAnsi="Cambria" w:cs="Times New Roman"/>
                <w:i/>
                <w:lang w:eastAsia="en-GB"/>
              </w:rPr>
            </w:pPr>
            <w:r w:rsidRPr="008F0127">
              <w:rPr>
                <w:i/>
              </w:rPr>
              <w:t>CENVAT credit on inputs, capital goods and input services, used for providing the taxable service, has not been taken by the service provider under the provisions of the CENVAT Credit Rules, 2004.</w:t>
            </w:r>
          </w:p>
        </w:tc>
      </w:tr>
      <w:tr w:rsidR="008F0127" w:rsidRPr="008F0127" w:rsidTr="008F0127">
        <w:tc>
          <w:tcPr>
            <w:tcW w:w="805"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center"/>
              <w:rPr>
                <w:rFonts w:ascii="Cambria" w:eastAsia="Times New Roman" w:hAnsi="Cambria" w:cs="Times New Roman"/>
                <w:i/>
                <w:color w:val="3E3E3E"/>
                <w:lang w:eastAsia="en-GB"/>
              </w:rPr>
            </w:pPr>
            <w:r w:rsidRPr="008F0127">
              <w:rPr>
                <w:rFonts w:ascii="Cambria" w:eastAsia="Times New Roman" w:hAnsi="Cambria" w:cs="Times New Roman"/>
                <w:i/>
                <w:color w:val="3E3E3E"/>
                <w:lang w:eastAsia="en-GB"/>
              </w:rPr>
              <w:t>8</w:t>
            </w:r>
          </w:p>
        </w:tc>
        <w:tc>
          <w:tcPr>
            <w:tcW w:w="2967"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both"/>
              <w:rPr>
                <w:rFonts w:ascii="Cambria" w:eastAsia="Times New Roman" w:hAnsi="Cambria" w:cs="Times New Roman"/>
                <w:i/>
                <w:color w:val="3E3E3E"/>
                <w:lang w:eastAsia="en-GB"/>
              </w:rPr>
            </w:pPr>
            <w:r w:rsidRPr="008F0127">
              <w:rPr>
                <w:i/>
              </w:rPr>
              <w:t>Services provided by a foreman of chit fund in relation to chit</w:t>
            </w:r>
          </w:p>
        </w:tc>
        <w:tc>
          <w:tcPr>
            <w:tcW w:w="720"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center"/>
              <w:rPr>
                <w:rFonts w:ascii="Cambria" w:eastAsia="Times New Roman" w:hAnsi="Cambria" w:cs="Times New Roman"/>
                <w:i/>
                <w:color w:val="3E3E3E"/>
                <w:lang w:eastAsia="en-GB"/>
              </w:rPr>
            </w:pPr>
            <w:r w:rsidRPr="008F0127">
              <w:rPr>
                <w:rFonts w:ascii="Cambria" w:eastAsia="Times New Roman" w:hAnsi="Cambria" w:cs="Times New Roman"/>
                <w:i/>
                <w:color w:val="3E3E3E"/>
                <w:lang w:eastAsia="en-GB"/>
              </w:rPr>
              <w:t>70</w:t>
            </w:r>
          </w:p>
        </w:tc>
        <w:tc>
          <w:tcPr>
            <w:tcW w:w="4500"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both"/>
              <w:rPr>
                <w:rFonts w:ascii="Cambria" w:eastAsia="Times New Roman" w:hAnsi="Cambria" w:cs="Times New Roman"/>
                <w:i/>
                <w:lang w:eastAsia="en-GB"/>
              </w:rPr>
            </w:pPr>
            <w:r w:rsidRPr="008F0127">
              <w:rPr>
                <w:i/>
              </w:rPr>
              <w:t>CENVAT credit on inputs, capital goods and input services, used for providing the taxable service has not been taken under the provisions of the CENVAT Credit Rules, 2004.”;</w:t>
            </w:r>
          </w:p>
        </w:tc>
      </w:tr>
      <w:tr w:rsidR="008F0127" w:rsidRPr="008F0127" w:rsidTr="008F0127">
        <w:tc>
          <w:tcPr>
            <w:tcW w:w="805"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center"/>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9</w:t>
            </w:r>
          </w:p>
        </w:tc>
        <w:tc>
          <w:tcPr>
            <w:tcW w:w="2967"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Renting of </w:t>
            </w:r>
            <w:hyperlink r:id="rId9" w:history="1">
              <w:r w:rsidRPr="008F0127">
                <w:rPr>
                  <w:rFonts w:ascii="Cambria" w:eastAsia="Times New Roman" w:hAnsi="Cambria" w:cs="Times New Roman"/>
                  <w:color w:val="0000FF"/>
                  <w:u w:val="single"/>
                  <w:vertAlign w:val="superscript"/>
                  <w:lang w:eastAsia="en-GB"/>
                </w:rPr>
                <w:t>6</w:t>
              </w:r>
            </w:hyperlink>
            <w:r w:rsidRPr="008F0127">
              <w:rPr>
                <w:rFonts w:ascii="Cambria" w:eastAsia="Times New Roman" w:hAnsi="Cambria" w:cs="Times New Roman"/>
                <w:color w:val="3E3E3E"/>
                <w:lang w:eastAsia="en-GB"/>
              </w:rPr>
              <w:t>[</w:t>
            </w:r>
            <w:proofErr w:type="spellStart"/>
            <w:r w:rsidRPr="008F0127">
              <w:rPr>
                <w:rFonts w:ascii="Cambria" w:eastAsia="Times New Roman" w:hAnsi="Cambria" w:cs="Times New Roman"/>
                <w:color w:val="3E3E3E"/>
                <w:lang w:eastAsia="en-GB"/>
              </w:rPr>
              <w:t>motorcab</w:t>
            </w:r>
            <w:proofErr w:type="spellEnd"/>
            <w:r w:rsidRPr="008F0127">
              <w:rPr>
                <w:rFonts w:ascii="Cambria" w:eastAsia="Times New Roman" w:hAnsi="Cambria" w:cs="Times New Roman"/>
                <w:color w:val="3E3E3E"/>
                <w:lang w:eastAsia="en-GB"/>
              </w:rPr>
              <w:t>]</w:t>
            </w:r>
          </w:p>
        </w:tc>
        <w:tc>
          <w:tcPr>
            <w:tcW w:w="720"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center"/>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40</w:t>
            </w:r>
          </w:p>
        </w:tc>
        <w:tc>
          <w:tcPr>
            <w:tcW w:w="4500"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hyperlink r:id="rId10" w:history="1">
              <w:r w:rsidRPr="008F0127">
                <w:rPr>
                  <w:rFonts w:ascii="Cambria" w:eastAsia="Times New Roman" w:hAnsi="Cambria" w:cs="Times New Roman"/>
                  <w:color w:val="0000FF"/>
                  <w:u w:val="single"/>
                  <w:vertAlign w:val="superscript"/>
                  <w:lang w:eastAsia="en-GB"/>
                </w:rPr>
                <w:t>7</w:t>
              </w:r>
            </w:hyperlink>
            <w:r w:rsidRPr="008F0127">
              <w:rPr>
                <w:rFonts w:ascii="Cambria" w:eastAsia="Times New Roman" w:hAnsi="Cambria" w:cs="Times New Roman"/>
                <w:color w:val="3E3E3E"/>
                <w:lang w:eastAsia="en-GB"/>
              </w:rPr>
              <w:t>[(</w:t>
            </w:r>
            <w:proofErr w:type="spellStart"/>
            <w:r w:rsidRPr="008F0127">
              <w:rPr>
                <w:rFonts w:ascii="Cambria" w:eastAsia="Times New Roman" w:hAnsi="Cambria" w:cs="Times New Roman"/>
                <w:i/>
                <w:iCs/>
                <w:color w:val="3E3E3E"/>
                <w:lang w:eastAsia="en-GB"/>
              </w:rPr>
              <w:t>i</w:t>
            </w:r>
            <w:proofErr w:type="spellEnd"/>
            <w:r w:rsidRPr="008F0127">
              <w:rPr>
                <w:rFonts w:ascii="Cambria" w:eastAsia="Times New Roman" w:hAnsi="Cambria" w:cs="Times New Roman"/>
                <w:color w:val="3E3E3E"/>
                <w:lang w:eastAsia="en-GB"/>
              </w:rPr>
              <w:t>) CENVAT credit on inputs and capital goods, used for providing the taxable service, has not been taken under the provisions of the CENVAT Credit Rules, 2004;</w:t>
            </w:r>
          </w:p>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w:t>
            </w:r>
            <w:r w:rsidRPr="008F0127">
              <w:rPr>
                <w:rFonts w:ascii="Cambria" w:eastAsia="Times New Roman" w:hAnsi="Cambria" w:cs="Times New Roman"/>
                <w:i/>
                <w:iCs/>
                <w:color w:val="3E3E3E"/>
                <w:lang w:eastAsia="en-GB"/>
              </w:rPr>
              <w:t>ii</w:t>
            </w:r>
            <w:r w:rsidRPr="008F0127">
              <w:rPr>
                <w:rFonts w:ascii="Cambria" w:eastAsia="Times New Roman" w:hAnsi="Cambria" w:cs="Times New Roman"/>
                <w:color w:val="3E3E3E"/>
                <w:lang w:eastAsia="en-GB"/>
              </w:rPr>
              <w:t xml:space="preserve">) CENVAT credit on input service of renting of </w:t>
            </w:r>
            <w:proofErr w:type="spellStart"/>
            <w:r w:rsidRPr="008F0127">
              <w:rPr>
                <w:rFonts w:ascii="Cambria" w:eastAsia="Times New Roman" w:hAnsi="Cambria" w:cs="Times New Roman"/>
                <w:color w:val="3E3E3E"/>
                <w:lang w:eastAsia="en-GB"/>
              </w:rPr>
              <w:t>motorcab</w:t>
            </w:r>
            <w:proofErr w:type="spellEnd"/>
            <w:r w:rsidRPr="008F0127">
              <w:rPr>
                <w:rFonts w:ascii="Cambria" w:eastAsia="Times New Roman" w:hAnsi="Cambria" w:cs="Times New Roman"/>
                <w:color w:val="3E3E3E"/>
                <w:lang w:eastAsia="en-GB"/>
              </w:rPr>
              <w:t xml:space="preserve"> has been taken under the provisions of the CENVAT Credit Rules, 2004, in the following manner :</w:t>
            </w:r>
          </w:p>
          <w:tbl>
            <w:tblPr>
              <w:tblW w:w="0" w:type="auto"/>
              <w:tblCellSpacing w:w="15" w:type="dxa"/>
              <w:tblInd w:w="170" w:type="dxa"/>
              <w:tblLayout w:type="fixed"/>
              <w:tblCellMar>
                <w:top w:w="15" w:type="dxa"/>
                <w:left w:w="15" w:type="dxa"/>
                <w:bottom w:w="15" w:type="dxa"/>
                <w:right w:w="15" w:type="dxa"/>
              </w:tblCellMar>
              <w:tblLook w:val="04A0" w:firstRow="1" w:lastRow="0" w:firstColumn="1" w:lastColumn="0" w:noHBand="0" w:noVBand="1"/>
            </w:tblPr>
            <w:tblGrid>
              <w:gridCol w:w="750"/>
              <w:gridCol w:w="120"/>
              <w:gridCol w:w="5990"/>
            </w:tblGrid>
            <w:tr w:rsidR="008F0127" w:rsidRPr="008F0127" w:rsidTr="008F0127">
              <w:trPr>
                <w:tblCellSpacing w:w="15" w:type="dxa"/>
              </w:trPr>
              <w:tc>
                <w:tcPr>
                  <w:tcW w:w="705" w:type="dxa"/>
                  <w:noWrap/>
                  <w:hideMark/>
                </w:tcPr>
                <w:p w:rsidR="008F0127" w:rsidRPr="008F0127" w:rsidRDefault="008F0127" w:rsidP="008F0127">
                  <w:pPr>
                    <w:spacing w:after="0" w:line="240" w:lineRule="auto"/>
                    <w:jc w:val="right"/>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w:t>
                  </w:r>
                  <w:r w:rsidRPr="008F0127">
                    <w:rPr>
                      <w:rFonts w:ascii="Cambria" w:eastAsia="Times New Roman" w:hAnsi="Cambria" w:cs="Times New Roman"/>
                      <w:i/>
                      <w:iCs/>
                      <w:color w:val="3E3E3E"/>
                      <w:lang w:eastAsia="en-GB"/>
                    </w:rPr>
                    <w:t>a</w:t>
                  </w:r>
                  <w:r w:rsidRPr="008F0127">
                    <w:rPr>
                      <w:rFonts w:ascii="Cambria" w:eastAsia="Times New Roman" w:hAnsi="Cambria" w:cs="Times New Roman"/>
                      <w:color w:val="3E3E3E"/>
                      <w:lang w:eastAsia="en-GB"/>
                    </w:rPr>
                    <w:t>)</w:t>
                  </w:r>
                </w:p>
              </w:tc>
              <w:tc>
                <w:tcPr>
                  <w:tcW w:w="90" w:type="dxa"/>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 </w:t>
                  </w:r>
                </w:p>
              </w:tc>
              <w:tc>
                <w:tcPr>
                  <w:tcW w:w="5945" w:type="dxa"/>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Full CENVAT credit of such input service received from a person who is paying service tax on forty per cent of the value; or</w:t>
                  </w:r>
                </w:p>
              </w:tc>
            </w:tr>
            <w:tr w:rsidR="008F0127" w:rsidRPr="008F0127" w:rsidTr="008F0127">
              <w:trPr>
                <w:tblCellSpacing w:w="15" w:type="dxa"/>
              </w:trPr>
              <w:tc>
                <w:tcPr>
                  <w:tcW w:w="705" w:type="dxa"/>
                  <w:noWrap/>
                  <w:hideMark/>
                </w:tcPr>
                <w:p w:rsidR="008F0127" w:rsidRPr="008F0127" w:rsidRDefault="008F0127" w:rsidP="008F0127">
                  <w:pPr>
                    <w:spacing w:after="0" w:line="240" w:lineRule="auto"/>
                    <w:jc w:val="right"/>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w:t>
                  </w:r>
                  <w:r w:rsidRPr="008F0127">
                    <w:rPr>
                      <w:rFonts w:ascii="Cambria" w:eastAsia="Times New Roman" w:hAnsi="Cambria" w:cs="Times New Roman"/>
                      <w:i/>
                      <w:iCs/>
                      <w:color w:val="3E3E3E"/>
                      <w:lang w:eastAsia="en-GB"/>
                    </w:rPr>
                    <w:t>b</w:t>
                  </w:r>
                  <w:r w:rsidRPr="008F0127">
                    <w:rPr>
                      <w:rFonts w:ascii="Cambria" w:eastAsia="Times New Roman" w:hAnsi="Cambria" w:cs="Times New Roman"/>
                      <w:color w:val="3E3E3E"/>
                      <w:lang w:eastAsia="en-GB"/>
                    </w:rPr>
                    <w:t>)</w:t>
                  </w:r>
                </w:p>
              </w:tc>
              <w:tc>
                <w:tcPr>
                  <w:tcW w:w="90" w:type="dxa"/>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 </w:t>
                  </w:r>
                </w:p>
              </w:tc>
              <w:tc>
                <w:tcPr>
                  <w:tcW w:w="5945" w:type="dxa"/>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w:t>
                  </w:r>
                  <w:r w:rsidRPr="008F0127">
                    <w:rPr>
                      <w:rFonts w:ascii="Cambria" w:eastAsia="Times New Roman" w:hAnsi="Cambria" w:cs="Times New Roman"/>
                      <w:i/>
                      <w:iCs/>
                      <w:color w:val="3E3E3E"/>
                      <w:lang w:eastAsia="en-GB"/>
                    </w:rPr>
                    <w:t>b</w:t>
                  </w:r>
                  <w:r w:rsidRPr="008F0127">
                    <w:rPr>
                      <w:rFonts w:ascii="Cambria" w:eastAsia="Times New Roman" w:hAnsi="Cambria" w:cs="Times New Roman"/>
                      <w:color w:val="3E3E3E"/>
                      <w:lang w:eastAsia="en-GB"/>
                    </w:rPr>
                    <w:t>) Up to forty per cent CENVAT credit of such input service received from a person who is paying service tax on full value;</w:t>
                  </w:r>
                </w:p>
              </w:tc>
            </w:tr>
          </w:tbl>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w:t>
            </w:r>
            <w:r w:rsidRPr="008F0127">
              <w:rPr>
                <w:rFonts w:ascii="Cambria" w:eastAsia="Times New Roman" w:hAnsi="Cambria" w:cs="Times New Roman"/>
                <w:i/>
                <w:iCs/>
                <w:color w:val="3E3E3E"/>
                <w:lang w:eastAsia="en-GB"/>
              </w:rPr>
              <w:t>iii</w:t>
            </w:r>
            <w:r w:rsidRPr="008F0127">
              <w:rPr>
                <w:rFonts w:ascii="Cambria" w:eastAsia="Times New Roman" w:hAnsi="Cambria" w:cs="Times New Roman"/>
                <w:color w:val="3E3E3E"/>
                <w:lang w:eastAsia="en-GB"/>
              </w:rPr>
              <w:t>) CENVAT credit on input services other than those specified in (</w:t>
            </w:r>
            <w:r w:rsidRPr="008F0127">
              <w:rPr>
                <w:rFonts w:ascii="Cambria" w:eastAsia="Times New Roman" w:hAnsi="Cambria" w:cs="Times New Roman"/>
                <w:i/>
                <w:iCs/>
                <w:color w:val="3E3E3E"/>
                <w:lang w:eastAsia="en-GB"/>
              </w:rPr>
              <w:t>ii</w:t>
            </w:r>
            <w:r w:rsidRPr="008F0127">
              <w:rPr>
                <w:rFonts w:ascii="Cambria" w:eastAsia="Times New Roman" w:hAnsi="Cambria" w:cs="Times New Roman"/>
                <w:color w:val="3E3E3E"/>
                <w:lang w:eastAsia="en-GB"/>
              </w:rPr>
              <w:t>) above, has not been taken under the provisions of the CENVAT Credit Rules, 2004.]</w:t>
            </w:r>
          </w:p>
        </w:tc>
      </w:tr>
      <w:tr w:rsidR="008F0127" w:rsidRPr="008F0127" w:rsidTr="008F0127">
        <w:tc>
          <w:tcPr>
            <w:tcW w:w="805"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center"/>
              <w:rPr>
                <w:rFonts w:ascii="Cambria" w:eastAsia="Times New Roman" w:hAnsi="Cambria" w:cs="Times New Roman"/>
                <w:color w:val="3E3E3E"/>
                <w:lang w:eastAsia="en-GB"/>
              </w:rPr>
            </w:pPr>
            <w:hyperlink r:id="rId11" w:history="1">
              <w:r w:rsidRPr="008F0127">
                <w:rPr>
                  <w:rFonts w:ascii="Cambria" w:eastAsia="Times New Roman" w:hAnsi="Cambria" w:cs="Times New Roman"/>
                  <w:color w:val="0000FF"/>
                  <w:u w:val="single"/>
                  <w:vertAlign w:val="superscript"/>
                  <w:lang w:eastAsia="en-GB"/>
                </w:rPr>
                <w:t>1</w:t>
              </w:r>
            </w:hyperlink>
            <w:r w:rsidRPr="008F0127">
              <w:rPr>
                <w:rFonts w:ascii="Cambria" w:eastAsia="Times New Roman" w:hAnsi="Cambria" w:cs="Times New Roman"/>
                <w:color w:val="3E3E3E"/>
                <w:lang w:eastAsia="en-GB"/>
              </w:rPr>
              <w:t>[</w:t>
            </w:r>
            <w:hyperlink r:id="rId12" w:history="1">
              <w:r w:rsidRPr="008F0127">
                <w:rPr>
                  <w:rFonts w:ascii="Cambria" w:eastAsia="Times New Roman" w:hAnsi="Cambria" w:cs="Times New Roman"/>
                  <w:color w:val="0000FF"/>
                  <w:u w:val="single"/>
                  <w:vertAlign w:val="superscript"/>
                  <w:lang w:eastAsia="en-GB"/>
                </w:rPr>
                <w:t>1a</w:t>
              </w:r>
            </w:hyperlink>
            <w:r w:rsidRPr="008F0127">
              <w:rPr>
                <w:rFonts w:ascii="Cambria" w:eastAsia="Times New Roman" w:hAnsi="Cambria" w:cs="Times New Roman"/>
                <w:color w:val="3E3E3E"/>
                <w:lang w:eastAsia="en-GB"/>
              </w:rPr>
              <w:t>[9A</w:t>
            </w:r>
          </w:p>
        </w:tc>
        <w:tc>
          <w:tcPr>
            <w:tcW w:w="2967"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Transport of passengers, with or without accompanied belongings, by—</w:t>
            </w:r>
          </w:p>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w:t>
            </w:r>
            <w:r w:rsidRPr="008F0127">
              <w:rPr>
                <w:rFonts w:ascii="Cambria" w:eastAsia="Times New Roman" w:hAnsi="Cambria" w:cs="Times New Roman"/>
                <w:i/>
                <w:iCs/>
                <w:color w:val="3E3E3E"/>
                <w:lang w:eastAsia="en-GB"/>
              </w:rPr>
              <w:t>a</w:t>
            </w:r>
            <w:r w:rsidRPr="008F0127">
              <w:rPr>
                <w:rFonts w:ascii="Cambria" w:eastAsia="Times New Roman" w:hAnsi="Cambria" w:cs="Times New Roman"/>
                <w:color w:val="3E3E3E"/>
                <w:lang w:eastAsia="en-GB"/>
              </w:rPr>
              <w:t xml:space="preserve">) </w:t>
            </w:r>
            <w:proofErr w:type="gramStart"/>
            <w:r w:rsidRPr="008F0127">
              <w:rPr>
                <w:rFonts w:ascii="Cambria" w:eastAsia="Times New Roman" w:hAnsi="Cambria" w:cs="Times New Roman"/>
                <w:color w:val="3E3E3E"/>
                <w:lang w:eastAsia="en-GB"/>
              </w:rPr>
              <w:t>a</w:t>
            </w:r>
            <w:proofErr w:type="gramEnd"/>
            <w:r w:rsidRPr="008F0127">
              <w:rPr>
                <w:rFonts w:ascii="Cambria" w:eastAsia="Times New Roman" w:hAnsi="Cambria" w:cs="Times New Roman"/>
                <w:color w:val="3E3E3E"/>
                <w:lang w:eastAsia="en-GB"/>
              </w:rPr>
              <w:t xml:space="preserve"> contract carriage other than </w:t>
            </w:r>
            <w:proofErr w:type="spellStart"/>
            <w:r w:rsidRPr="008F0127">
              <w:rPr>
                <w:rFonts w:ascii="Cambria" w:eastAsia="Times New Roman" w:hAnsi="Cambria" w:cs="Times New Roman"/>
                <w:color w:val="3E3E3E"/>
                <w:lang w:eastAsia="en-GB"/>
              </w:rPr>
              <w:t>motorcab</w:t>
            </w:r>
            <w:proofErr w:type="spellEnd"/>
            <w:r w:rsidRPr="008F0127">
              <w:rPr>
                <w:rFonts w:ascii="Cambria" w:eastAsia="Times New Roman" w:hAnsi="Cambria" w:cs="Times New Roman"/>
                <w:color w:val="3E3E3E"/>
                <w:lang w:eastAsia="en-GB"/>
              </w:rPr>
              <w:t>.</w:t>
            </w:r>
          </w:p>
          <w:p w:rsid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w:t>
            </w:r>
            <w:r w:rsidRPr="008F0127">
              <w:rPr>
                <w:rFonts w:ascii="Cambria" w:eastAsia="Times New Roman" w:hAnsi="Cambria" w:cs="Times New Roman"/>
                <w:i/>
                <w:iCs/>
                <w:color w:val="3E3E3E"/>
                <w:lang w:eastAsia="en-GB"/>
              </w:rPr>
              <w:t>b</w:t>
            </w:r>
            <w:r>
              <w:rPr>
                <w:rFonts w:ascii="Cambria" w:eastAsia="Times New Roman" w:hAnsi="Cambria" w:cs="Times New Roman"/>
                <w:color w:val="3E3E3E"/>
                <w:lang w:eastAsia="en-GB"/>
              </w:rPr>
              <w:t xml:space="preserve">) </w:t>
            </w:r>
            <w:proofErr w:type="gramStart"/>
            <w:r>
              <w:rPr>
                <w:rFonts w:ascii="Cambria" w:eastAsia="Times New Roman" w:hAnsi="Cambria" w:cs="Times New Roman"/>
                <w:color w:val="3E3E3E"/>
                <w:lang w:eastAsia="en-GB"/>
              </w:rPr>
              <w:t>a</w:t>
            </w:r>
            <w:proofErr w:type="gramEnd"/>
            <w:r>
              <w:rPr>
                <w:rFonts w:ascii="Cambria" w:eastAsia="Times New Roman" w:hAnsi="Cambria" w:cs="Times New Roman"/>
                <w:color w:val="3E3E3E"/>
                <w:lang w:eastAsia="en-GB"/>
              </w:rPr>
              <w:t xml:space="preserve"> radio taxi.</w:t>
            </w:r>
          </w:p>
          <w:p w:rsidR="008F0127" w:rsidRPr="008F0127" w:rsidRDefault="008F0127" w:rsidP="008F0127">
            <w:pPr>
              <w:spacing w:after="0" w:line="240" w:lineRule="auto"/>
              <w:jc w:val="both"/>
              <w:rPr>
                <w:rFonts w:ascii="Cambria" w:eastAsia="Times New Roman" w:hAnsi="Cambria" w:cs="Times New Roman"/>
                <w:i/>
                <w:color w:val="3E3E3E"/>
                <w:lang w:eastAsia="en-GB"/>
              </w:rPr>
            </w:pPr>
            <w:r w:rsidRPr="008F0127">
              <w:rPr>
                <w:i/>
              </w:rPr>
              <w:t>(c) a stage carriage</w:t>
            </w:r>
          </w:p>
        </w:tc>
        <w:tc>
          <w:tcPr>
            <w:tcW w:w="720"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center"/>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40</w:t>
            </w:r>
          </w:p>
        </w:tc>
        <w:tc>
          <w:tcPr>
            <w:tcW w:w="4500"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CENVAT credit on inputs, capital goods and input services, used for providing the tax-able service, has not been taken under the provisions of the CENVAT Credit Rules, 2004.]</w:t>
            </w:r>
          </w:p>
        </w:tc>
      </w:tr>
      <w:tr w:rsidR="008F0127" w:rsidRPr="008F0127" w:rsidTr="008F0127">
        <w:tc>
          <w:tcPr>
            <w:tcW w:w="805"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center"/>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10</w:t>
            </w:r>
          </w:p>
        </w:tc>
        <w:tc>
          <w:tcPr>
            <w:tcW w:w="2967"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Transport of goods in a vessel</w:t>
            </w:r>
          </w:p>
        </w:tc>
        <w:tc>
          <w:tcPr>
            <w:tcW w:w="720"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center"/>
              <w:rPr>
                <w:rFonts w:ascii="Cambria" w:eastAsia="Times New Roman" w:hAnsi="Cambria" w:cs="Times New Roman"/>
                <w:color w:val="3E3E3E"/>
                <w:lang w:eastAsia="en-GB"/>
              </w:rPr>
            </w:pPr>
            <w:hyperlink r:id="rId13" w:history="1">
              <w:r w:rsidRPr="008F0127">
                <w:rPr>
                  <w:rFonts w:ascii="Cambria" w:eastAsia="Times New Roman" w:hAnsi="Cambria" w:cs="Times New Roman"/>
                  <w:color w:val="0000FF"/>
                  <w:u w:val="single"/>
                  <w:vertAlign w:val="superscript"/>
                  <w:lang w:eastAsia="en-GB"/>
                </w:rPr>
                <w:t>2</w:t>
              </w:r>
            </w:hyperlink>
            <w:r w:rsidRPr="008F0127">
              <w:rPr>
                <w:rFonts w:ascii="Cambria" w:eastAsia="Times New Roman" w:hAnsi="Cambria" w:cs="Times New Roman"/>
                <w:color w:val="3E3E3E"/>
                <w:lang w:eastAsia="en-GB"/>
              </w:rPr>
              <w:t> </w:t>
            </w:r>
            <w:r w:rsidRPr="008F0127">
              <w:rPr>
                <w:rFonts w:ascii="Cambria" w:eastAsia="Times New Roman" w:hAnsi="Cambria" w:cs="Times New Roman"/>
                <w:b/>
                <w:bCs/>
                <w:color w:val="3E3E3E"/>
                <w:lang w:eastAsia="en-GB"/>
              </w:rPr>
              <w:t>[</w:t>
            </w:r>
            <w:r w:rsidRPr="008F0127">
              <w:rPr>
                <w:rFonts w:ascii="Cambria" w:eastAsia="Times New Roman" w:hAnsi="Cambria" w:cs="Times New Roman"/>
                <w:color w:val="3E3E3E"/>
                <w:lang w:eastAsia="en-GB"/>
              </w:rPr>
              <w:t> </w:t>
            </w:r>
            <w:r w:rsidRPr="008F0127">
              <w:rPr>
                <w:rFonts w:ascii="Cambria" w:eastAsia="Times New Roman" w:hAnsi="Cambria" w:cs="Times New Roman"/>
                <w:i/>
                <w:iCs/>
                <w:color w:val="3E3E3E"/>
                <w:lang w:eastAsia="en-GB"/>
              </w:rPr>
              <w:t>30</w:t>
            </w:r>
            <w:r w:rsidRPr="008F0127">
              <w:rPr>
                <w:rFonts w:ascii="Cambria" w:eastAsia="Times New Roman" w:hAnsi="Cambria" w:cs="Times New Roman"/>
                <w:color w:val="3E3E3E"/>
                <w:lang w:eastAsia="en-GB"/>
              </w:rPr>
              <w:t> </w:t>
            </w:r>
            <w:r w:rsidRPr="008F0127">
              <w:rPr>
                <w:rFonts w:ascii="Cambria" w:eastAsia="Times New Roman" w:hAnsi="Cambria" w:cs="Times New Roman"/>
                <w:b/>
                <w:bCs/>
                <w:color w:val="3E3E3E"/>
                <w:lang w:eastAsia="en-GB"/>
              </w:rPr>
              <w:t>]</w:t>
            </w:r>
          </w:p>
        </w:tc>
        <w:tc>
          <w:tcPr>
            <w:tcW w:w="4500"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hAnsi="Cambria"/>
              </w:rPr>
              <w:t xml:space="preserve">CENVAT credit on inputs and capital goods, used for providing the taxable service, has not </w:t>
            </w:r>
            <w:r w:rsidRPr="008F0127">
              <w:rPr>
                <w:rFonts w:ascii="Cambria" w:hAnsi="Cambria"/>
              </w:rPr>
              <w:lastRenderedPageBreak/>
              <w:t>been taken under the provisions of the CENVAT Credit Rules, 2004.</w:t>
            </w:r>
          </w:p>
        </w:tc>
      </w:tr>
      <w:tr w:rsidR="008F0127" w:rsidRPr="008F0127" w:rsidTr="008F0127">
        <w:tc>
          <w:tcPr>
            <w:tcW w:w="805" w:type="dxa"/>
            <w:tcBorders>
              <w:top w:val="single" w:sz="2" w:space="0" w:color="FFFFFF"/>
              <w:left w:val="single" w:sz="6" w:space="0" w:color="000000"/>
              <w:right w:val="single" w:sz="6" w:space="0" w:color="000000"/>
            </w:tcBorders>
            <w:hideMark/>
          </w:tcPr>
          <w:p w:rsidR="008F0127" w:rsidRPr="008F0127" w:rsidRDefault="008F0127" w:rsidP="008F0127">
            <w:pPr>
              <w:spacing w:after="0" w:line="240" w:lineRule="auto"/>
              <w:jc w:val="center"/>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lastRenderedPageBreak/>
              <w:t>11</w:t>
            </w:r>
          </w:p>
        </w:tc>
        <w:tc>
          <w:tcPr>
            <w:tcW w:w="2967"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both"/>
              <w:rPr>
                <w:rFonts w:ascii="Cambria" w:hAnsi="Cambria"/>
              </w:rPr>
            </w:pPr>
            <w:r w:rsidRPr="008F0127">
              <w:rPr>
                <w:rFonts w:ascii="Cambria" w:hAnsi="Cambria"/>
              </w:rPr>
              <w:t xml:space="preserve">Services by a tour operator in relation to,- </w:t>
            </w:r>
          </w:p>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hAnsi="Cambria"/>
              </w:rPr>
              <w:t>(</w:t>
            </w:r>
            <w:proofErr w:type="spellStart"/>
            <w:r w:rsidRPr="008F0127">
              <w:rPr>
                <w:rFonts w:ascii="Cambria" w:hAnsi="Cambria"/>
              </w:rPr>
              <w:t>i</w:t>
            </w:r>
            <w:proofErr w:type="spellEnd"/>
            <w:r w:rsidRPr="008F0127">
              <w:rPr>
                <w:rFonts w:ascii="Cambria" w:hAnsi="Cambria"/>
              </w:rPr>
              <w:t>) a tour, only for the purpose of arranging or booking accommodation for</w:t>
            </w:r>
            <w:r w:rsidRPr="008F0127">
              <w:rPr>
                <w:rFonts w:ascii="Cambria" w:hAnsi="Cambria"/>
              </w:rPr>
              <w:t xml:space="preserve"> any person</w:t>
            </w:r>
          </w:p>
        </w:tc>
        <w:tc>
          <w:tcPr>
            <w:tcW w:w="720"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center"/>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10</w:t>
            </w:r>
          </w:p>
        </w:tc>
        <w:tc>
          <w:tcPr>
            <w:tcW w:w="4500"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pStyle w:val="ListParagraph"/>
              <w:numPr>
                <w:ilvl w:val="0"/>
                <w:numId w:val="1"/>
              </w:numPr>
              <w:spacing w:after="0" w:line="240" w:lineRule="auto"/>
              <w:ind w:left="300" w:hanging="300"/>
              <w:jc w:val="both"/>
              <w:rPr>
                <w:rFonts w:ascii="Cambria" w:hAnsi="Cambria"/>
              </w:rPr>
            </w:pPr>
            <w:r w:rsidRPr="008F0127">
              <w:rPr>
                <w:rFonts w:ascii="Cambria" w:hAnsi="Cambria"/>
              </w:rPr>
              <w:t>CENVAT credit on inputs, capital goods and input services other than</w:t>
            </w:r>
            <w:r w:rsidRPr="008F0127">
              <w:rPr>
                <w:rFonts w:ascii="Cambria" w:hAnsi="Cambria"/>
              </w:rPr>
              <w:t xml:space="preserve"> </w:t>
            </w:r>
            <w:r w:rsidRPr="008F0127">
              <w:rPr>
                <w:rFonts w:ascii="Cambria" w:hAnsi="Cambria"/>
              </w:rPr>
              <w:t xml:space="preserve">input services of a tour operator, used for providing the taxable service, has not been taken under the provisions of the CENVAT Credit Rules, 2004. </w:t>
            </w:r>
          </w:p>
          <w:p w:rsidR="008F0127" w:rsidRPr="008F0127" w:rsidRDefault="008F0127" w:rsidP="008F0127">
            <w:pPr>
              <w:pStyle w:val="ListParagraph"/>
              <w:numPr>
                <w:ilvl w:val="0"/>
                <w:numId w:val="1"/>
              </w:numPr>
              <w:spacing w:after="0" w:line="240" w:lineRule="auto"/>
              <w:ind w:left="300" w:hanging="300"/>
              <w:jc w:val="both"/>
              <w:rPr>
                <w:rFonts w:ascii="Cambria" w:hAnsi="Cambria"/>
              </w:rPr>
            </w:pPr>
            <w:r w:rsidRPr="008F0127">
              <w:rPr>
                <w:rFonts w:ascii="Cambria" w:hAnsi="Cambria"/>
              </w:rPr>
              <w:t xml:space="preserve">The invoice, bill or challan issued indicates that it is towards the charges for such accommodation. </w:t>
            </w:r>
          </w:p>
          <w:p w:rsidR="008F0127" w:rsidRPr="008F0127" w:rsidRDefault="008F0127" w:rsidP="008F0127">
            <w:pPr>
              <w:pStyle w:val="ListParagraph"/>
              <w:numPr>
                <w:ilvl w:val="0"/>
                <w:numId w:val="1"/>
              </w:numPr>
              <w:spacing w:after="0" w:line="240" w:lineRule="auto"/>
              <w:ind w:left="300" w:hanging="300"/>
              <w:jc w:val="both"/>
              <w:rPr>
                <w:rFonts w:ascii="Cambria" w:hAnsi="Cambria"/>
              </w:rPr>
            </w:pPr>
            <w:r w:rsidRPr="008F0127">
              <w:rPr>
                <w:rFonts w:ascii="Cambria" w:hAnsi="Cambria"/>
              </w:rPr>
              <w:t>This exemption shall not apply in such cases where the invoice, bill or challan issued by the tour operator, in relation to a tour, includes only the service charges for arranging or booking accommodation for any person but does not include the cost of such accommodation.</w:t>
            </w:r>
          </w:p>
        </w:tc>
      </w:tr>
      <w:tr w:rsidR="008F0127" w:rsidRPr="008F0127" w:rsidTr="008F0127">
        <w:tc>
          <w:tcPr>
            <w:tcW w:w="805" w:type="dxa"/>
            <w:tcBorders>
              <w:top w:val="single" w:sz="2" w:space="0" w:color="FFFFFF"/>
              <w:left w:val="single" w:sz="6" w:space="0" w:color="000000"/>
              <w:right w:val="single" w:sz="6" w:space="0" w:color="000000"/>
            </w:tcBorders>
            <w:hideMark/>
          </w:tcPr>
          <w:p w:rsidR="008F0127" w:rsidRPr="008F0127" w:rsidRDefault="008F0127" w:rsidP="008F0127">
            <w:pPr>
              <w:spacing w:after="0" w:line="240" w:lineRule="auto"/>
              <w:rPr>
                <w:rFonts w:ascii="Cambria" w:eastAsia="Times New Roman" w:hAnsi="Cambria" w:cs="Times New Roman"/>
                <w:color w:val="3E3E3E"/>
                <w:lang w:eastAsia="en-GB"/>
              </w:rPr>
            </w:pPr>
          </w:p>
        </w:tc>
        <w:tc>
          <w:tcPr>
            <w:tcW w:w="2967"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hAnsi="Cambria"/>
              </w:rPr>
              <w:t>(ii) tours other than (</w:t>
            </w:r>
            <w:proofErr w:type="spellStart"/>
            <w:r w:rsidRPr="008F0127">
              <w:rPr>
                <w:rFonts w:ascii="Cambria" w:hAnsi="Cambria"/>
              </w:rPr>
              <w:t>i</w:t>
            </w:r>
            <w:proofErr w:type="spellEnd"/>
            <w:r w:rsidRPr="008F0127">
              <w:rPr>
                <w:rFonts w:ascii="Cambria" w:hAnsi="Cambria"/>
              </w:rPr>
              <w:t>) above</w:t>
            </w:r>
          </w:p>
        </w:tc>
        <w:tc>
          <w:tcPr>
            <w:tcW w:w="720"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center"/>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30</w:t>
            </w:r>
          </w:p>
        </w:tc>
        <w:tc>
          <w:tcPr>
            <w:tcW w:w="4500"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pStyle w:val="ListParagraph"/>
              <w:numPr>
                <w:ilvl w:val="0"/>
                <w:numId w:val="2"/>
              </w:numPr>
              <w:spacing w:after="0" w:line="240" w:lineRule="auto"/>
              <w:ind w:left="300" w:hanging="300"/>
              <w:jc w:val="both"/>
              <w:rPr>
                <w:rFonts w:ascii="Cambria" w:hAnsi="Cambria"/>
              </w:rPr>
            </w:pPr>
            <w:r w:rsidRPr="008F0127">
              <w:rPr>
                <w:rFonts w:ascii="Cambria" w:hAnsi="Cambria"/>
              </w:rPr>
              <w:t>CENVAT credit on inputs, capital goods and input services other than input services of a tour operator, used for providing the taxable service, has not been taken under the provisions of the CENVAT Credit</w:t>
            </w:r>
            <w:r w:rsidRPr="008F0127">
              <w:rPr>
                <w:rFonts w:ascii="Cambria" w:hAnsi="Cambria"/>
              </w:rPr>
              <w:t xml:space="preserve"> </w:t>
            </w:r>
          </w:p>
          <w:p w:rsidR="008F0127" w:rsidRPr="008F0127" w:rsidRDefault="008F0127" w:rsidP="008F0127">
            <w:pPr>
              <w:pStyle w:val="ListParagraph"/>
              <w:numPr>
                <w:ilvl w:val="0"/>
                <w:numId w:val="2"/>
              </w:numPr>
              <w:spacing w:after="0" w:line="240" w:lineRule="auto"/>
              <w:ind w:left="300" w:hanging="360"/>
              <w:jc w:val="both"/>
              <w:rPr>
                <w:rFonts w:ascii="Cambria" w:eastAsia="Times New Roman" w:hAnsi="Cambria" w:cs="Times New Roman"/>
                <w:color w:val="3E3E3E"/>
                <w:lang w:eastAsia="en-GB"/>
              </w:rPr>
            </w:pPr>
            <w:r w:rsidRPr="008F0127">
              <w:rPr>
                <w:rFonts w:ascii="Cambria" w:hAnsi="Cambria"/>
              </w:rPr>
              <w:t>The bill issued for this purpose indicates that it is inclusive of charges for such a tour and the amount charged in the bill is the gross amount charged for such a tour.”;</w:t>
            </w:r>
          </w:p>
        </w:tc>
      </w:tr>
      <w:tr w:rsidR="008F0127" w:rsidRPr="008F0127" w:rsidTr="008F0127">
        <w:tc>
          <w:tcPr>
            <w:tcW w:w="805"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rPr>
                <w:rFonts w:ascii="Cambria" w:eastAsia="Times New Roman" w:hAnsi="Cambria" w:cs="Times New Roman"/>
                <w:color w:val="3E3E3E"/>
                <w:lang w:eastAsia="en-GB"/>
              </w:rPr>
            </w:pPr>
          </w:p>
        </w:tc>
        <w:tc>
          <w:tcPr>
            <w:tcW w:w="2967"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w:t>
            </w:r>
            <w:r w:rsidRPr="008F0127">
              <w:rPr>
                <w:rFonts w:ascii="Cambria" w:eastAsia="Times New Roman" w:hAnsi="Cambria" w:cs="Times New Roman"/>
                <w:i/>
                <w:iCs/>
                <w:color w:val="3E3E3E"/>
                <w:lang w:eastAsia="en-GB"/>
              </w:rPr>
              <w:t>iii</w:t>
            </w:r>
            <w:r w:rsidRPr="008F0127">
              <w:rPr>
                <w:rFonts w:ascii="Cambria" w:eastAsia="Times New Roman" w:hAnsi="Cambria" w:cs="Times New Roman"/>
                <w:color w:val="3E3E3E"/>
                <w:lang w:eastAsia="en-GB"/>
              </w:rPr>
              <w:t xml:space="preserve">) </w:t>
            </w:r>
            <w:proofErr w:type="gramStart"/>
            <w:r w:rsidRPr="008F0127">
              <w:rPr>
                <w:rFonts w:ascii="Cambria" w:eastAsia="Times New Roman" w:hAnsi="Cambria" w:cs="Times New Roman"/>
                <w:color w:val="3E3E3E"/>
                <w:lang w:eastAsia="en-GB"/>
              </w:rPr>
              <w:t>any</w:t>
            </w:r>
            <w:proofErr w:type="gramEnd"/>
            <w:r w:rsidRPr="008F0127">
              <w:rPr>
                <w:rFonts w:ascii="Cambria" w:eastAsia="Times New Roman" w:hAnsi="Cambria" w:cs="Times New Roman"/>
                <w:color w:val="3E3E3E"/>
                <w:lang w:eastAsia="en-GB"/>
              </w:rPr>
              <w:t xml:space="preserve"> services other than specified at (</w:t>
            </w:r>
            <w:proofErr w:type="spellStart"/>
            <w:r w:rsidRPr="008F0127">
              <w:rPr>
                <w:rFonts w:ascii="Cambria" w:eastAsia="Times New Roman" w:hAnsi="Cambria" w:cs="Times New Roman"/>
                <w:i/>
                <w:iCs/>
                <w:color w:val="3E3E3E"/>
                <w:lang w:eastAsia="en-GB"/>
              </w:rPr>
              <w:t>i</w:t>
            </w:r>
            <w:proofErr w:type="spellEnd"/>
            <w:r w:rsidRPr="008F0127">
              <w:rPr>
                <w:rFonts w:ascii="Cambria" w:eastAsia="Times New Roman" w:hAnsi="Cambria" w:cs="Times New Roman"/>
                <w:color w:val="3E3E3E"/>
                <w:lang w:eastAsia="en-GB"/>
              </w:rPr>
              <w:t>) and (</w:t>
            </w:r>
            <w:r w:rsidRPr="008F0127">
              <w:rPr>
                <w:rFonts w:ascii="Cambria" w:eastAsia="Times New Roman" w:hAnsi="Cambria" w:cs="Times New Roman"/>
                <w:i/>
                <w:iCs/>
                <w:color w:val="3E3E3E"/>
                <w:lang w:eastAsia="en-GB"/>
              </w:rPr>
              <w:t>ii</w:t>
            </w:r>
            <w:r w:rsidRPr="008F0127">
              <w:rPr>
                <w:rFonts w:ascii="Cambria" w:eastAsia="Times New Roman" w:hAnsi="Cambria" w:cs="Times New Roman"/>
                <w:color w:val="3E3E3E"/>
                <w:lang w:eastAsia="en-GB"/>
              </w:rPr>
              <w:t>) above.</w:t>
            </w:r>
          </w:p>
        </w:tc>
        <w:tc>
          <w:tcPr>
            <w:tcW w:w="720"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center"/>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40</w:t>
            </w:r>
          </w:p>
        </w:tc>
        <w:tc>
          <w:tcPr>
            <w:tcW w:w="4500"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w:t>
            </w:r>
            <w:proofErr w:type="spellStart"/>
            <w:r w:rsidRPr="008F0127">
              <w:rPr>
                <w:rFonts w:ascii="Cambria" w:eastAsia="Times New Roman" w:hAnsi="Cambria" w:cs="Times New Roman"/>
                <w:i/>
                <w:iCs/>
                <w:color w:val="3E3E3E"/>
                <w:lang w:eastAsia="en-GB"/>
              </w:rPr>
              <w:t>i</w:t>
            </w:r>
            <w:proofErr w:type="spellEnd"/>
            <w:r w:rsidRPr="008F0127">
              <w:rPr>
                <w:rFonts w:ascii="Cambria" w:eastAsia="Times New Roman" w:hAnsi="Cambria" w:cs="Times New Roman"/>
                <w:color w:val="3E3E3E"/>
                <w:lang w:eastAsia="en-GB"/>
              </w:rPr>
              <w:t>) CENVAT credit on inputs, capital goods and input services </w:t>
            </w:r>
            <w:hyperlink r:id="rId14" w:history="1">
              <w:r w:rsidRPr="008F0127">
                <w:rPr>
                  <w:rFonts w:ascii="Cambria" w:eastAsia="Times New Roman" w:hAnsi="Cambria" w:cs="Times New Roman"/>
                  <w:color w:val="0000FF"/>
                  <w:u w:val="single"/>
                  <w:vertAlign w:val="superscript"/>
                  <w:lang w:eastAsia="en-GB"/>
                </w:rPr>
                <w:t>1</w:t>
              </w:r>
            </w:hyperlink>
            <w:r w:rsidRPr="008F0127">
              <w:rPr>
                <w:rFonts w:ascii="Cambria" w:eastAsia="Times New Roman" w:hAnsi="Cambria" w:cs="Times New Roman"/>
                <w:color w:val="3E3E3E"/>
                <w:lang w:eastAsia="en-GB"/>
              </w:rPr>
              <w:t>[other than the input service of a tour operator], used for providing the taxable service, has not been taken under the provisions of the CENVAT Credit Rules, 2004.</w:t>
            </w:r>
          </w:p>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w:t>
            </w:r>
            <w:r w:rsidRPr="008F0127">
              <w:rPr>
                <w:rFonts w:ascii="Cambria" w:eastAsia="Times New Roman" w:hAnsi="Cambria" w:cs="Times New Roman"/>
                <w:i/>
                <w:iCs/>
                <w:color w:val="3E3E3E"/>
                <w:lang w:eastAsia="en-GB"/>
              </w:rPr>
              <w:t>ii</w:t>
            </w:r>
            <w:r w:rsidRPr="008F0127">
              <w:rPr>
                <w:rFonts w:ascii="Cambria" w:eastAsia="Times New Roman" w:hAnsi="Cambria" w:cs="Times New Roman"/>
                <w:color w:val="3E3E3E"/>
                <w:lang w:eastAsia="en-GB"/>
              </w:rPr>
              <w:t>) The bill issued indicates that the amount charged in the bill is the gross amount charged for such a tour.</w:t>
            </w:r>
          </w:p>
        </w:tc>
      </w:tr>
      <w:tr w:rsidR="008F0127" w:rsidRPr="008F0127" w:rsidTr="008F0127">
        <w:tc>
          <w:tcPr>
            <w:tcW w:w="805"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spacing w:after="0" w:line="240" w:lineRule="auto"/>
              <w:jc w:val="center"/>
              <w:rPr>
                <w:rFonts w:ascii="Cambria" w:eastAsia="Times New Roman" w:hAnsi="Cambria" w:cs="Times New Roman"/>
                <w:color w:val="3E3E3E"/>
                <w:lang w:eastAsia="en-GB"/>
              </w:rPr>
            </w:pPr>
            <w:hyperlink r:id="rId15" w:history="1">
              <w:r w:rsidRPr="008F0127">
                <w:rPr>
                  <w:rFonts w:ascii="Cambria" w:eastAsia="Times New Roman" w:hAnsi="Cambria" w:cs="Times New Roman"/>
                  <w:color w:val="0000FF"/>
                  <w:u w:val="single"/>
                  <w:vertAlign w:val="superscript"/>
                  <w:lang w:eastAsia="en-GB"/>
                </w:rPr>
                <w:t>2</w:t>
              </w:r>
            </w:hyperlink>
            <w:r w:rsidRPr="008F0127">
              <w:rPr>
                <w:rFonts w:ascii="Cambria" w:eastAsia="Times New Roman" w:hAnsi="Cambria" w:cs="Times New Roman"/>
                <w:color w:val="3E3E3E"/>
                <w:lang w:eastAsia="en-GB"/>
              </w:rPr>
              <w:t>[12.</w:t>
            </w:r>
          </w:p>
        </w:tc>
        <w:tc>
          <w:tcPr>
            <w:tcW w:w="2967" w:type="dxa"/>
            <w:tcBorders>
              <w:top w:val="single" w:sz="6" w:space="0" w:color="000000"/>
              <w:left w:val="single" w:sz="6" w:space="0" w:color="000000"/>
              <w:bottom w:val="single" w:sz="4" w:space="0" w:color="auto"/>
              <w:right w:val="single" w:sz="6" w:space="0" w:color="000000"/>
            </w:tcBorders>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hAnsi="Cambria"/>
              </w:rPr>
              <w:t>Construction of a complex, building, civil structure or a part thereof, intended for a sale to a buyer, wholly or partly except where entire consideration is received after issuance of completion certificate by the competent authority</w:t>
            </w:r>
            <w:r>
              <w:rPr>
                <w:rFonts w:ascii="Cambria" w:hAnsi="Cambria"/>
              </w:rPr>
              <w:t>.</w:t>
            </w:r>
          </w:p>
        </w:tc>
        <w:tc>
          <w:tcPr>
            <w:tcW w:w="720" w:type="dxa"/>
            <w:tcBorders>
              <w:top w:val="single" w:sz="6" w:space="0" w:color="000000"/>
              <w:left w:val="single" w:sz="6" w:space="0" w:color="000000"/>
              <w:bottom w:val="single" w:sz="4" w:space="0" w:color="auto"/>
              <w:right w:val="single" w:sz="6" w:space="0" w:color="000000"/>
            </w:tcBorders>
            <w:hideMark/>
          </w:tcPr>
          <w:p w:rsidR="008F0127" w:rsidRPr="008F0127" w:rsidRDefault="008F0127" w:rsidP="008F0127">
            <w:pPr>
              <w:spacing w:after="0" w:line="240" w:lineRule="auto"/>
              <w:jc w:val="center"/>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30</w:t>
            </w:r>
          </w:p>
        </w:tc>
        <w:tc>
          <w:tcPr>
            <w:tcW w:w="4500" w:type="dxa"/>
            <w:tcBorders>
              <w:top w:val="single" w:sz="2" w:space="0" w:color="FFFFFF"/>
              <w:left w:val="single" w:sz="6" w:space="0" w:color="000000"/>
              <w:bottom w:val="single" w:sz="6" w:space="0" w:color="000000"/>
              <w:right w:val="single" w:sz="6" w:space="0" w:color="000000"/>
            </w:tcBorders>
            <w:hideMark/>
          </w:tcPr>
          <w:p w:rsidR="008F0127" w:rsidRPr="008F0127" w:rsidRDefault="008F0127" w:rsidP="008F0127">
            <w:pPr>
              <w:pStyle w:val="ListParagraph"/>
              <w:numPr>
                <w:ilvl w:val="0"/>
                <w:numId w:val="3"/>
              </w:numPr>
              <w:spacing w:after="0" w:line="240" w:lineRule="auto"/>
              <w:ind w:left="390" w:hanging="360"/>
              <w:jc w:val="both"/>
              <w:rPr>
                <w:rFonts w:ascii="Cambria" w:hAnsi="Cambria"/>
              </w:rPr>
            </w:pPr>
            <w:r w:rsidRPr="008F0127">
              <w:rPr>
                <w:rFonts w:ascii="Cambria" w:hAnsi="Cambria"/>
              </w:rPr>
              <w:t xml:space="preserve">CENVAT credit on inputs used for providing the taxable service has not been taken under the provisions of the CENVAT Credit Rules, 2004. </w:t>
            </w:r>
          </w:p>
          <w:p w:rsidR="008F0127" w:rsidRPr="008F0127" w:rsidRDefault="008F0127" w:rsidP="008F0127">
            <w:pPr>
              <w:pStyle w:val="ListParagraph"/>
              <w:numPr>
                <w:ilvl w:val="0"/>
                <w:numId w:val="3"/>
              </w:numPr>
              <w:spacing w:after="0" w:line="240" w:lineRule="auto"/>
              <w:ind w:left="390" w:hanging="360"/>
              <w:jc w:val="both"/>
              <w:rPr>
                <w:rFonts w:ascii="Cambria" w:eastAsia="Times New Roman" w:hAnsi="Cambria" w:cs="Times New Roman"/>
                <w:color w:val="3E3E3E"/>
                <w:lang w:eastAsia="en-GB"/>
              </w:rPr>
            </w:pPr>
            <w:r w:rsidRPr="008F0127">
              <w:rPr>
                <w:rFonts w:ascii="Cambria" w:hAnsi="Cambria"/>
              </w:rPr>
              <w:t>The value of land is included in the amount charged from the service receiver.”</w:t>
            </w:r>
          </w:p>
        </w:tc>
      </w:tr>
    </w:tbl>
    <w:p w:rsidR="008F0127" w:rsidRPr="008F0127" w:rsidRDefault="008F0127" w:rsidP="008F0127">
      <w:pPr>
        <w:shd w:val="clear" w:color="auto" w:fill="FFFFFF"/>
        <w:spacing w:after="150" w:line="240" w:lineRule="auto"/>
        <w:ind w:left="360" w:right="360"/>
        <w:jc w:val="both"/>
        <w:rPr>
          <w:rFonts w:ascii="Cambria" w:eastAsia="Times New Roman" w:hAnsi="Cambria" w:cs="Times New Roman"/>
          <w:color w:val="333333"/>
          <w:lang w:eastAsia="en-GB"/>
        </w:rPr>
      </w:pPr>
      <w:r w:rsidRPr="008F0127">
        <w:rPr>
          <w:rFonts w:ascii="Cambria" w:eastAsia="Times New Roman" w:hAnsi="Cambria" w:cs="Times New Roman"/>
          <w:color w:val="333333"/>
          <w:lang w:eastAsia="en-GB"/>
        </w:rPr>
        <w:t>A. For the purposes of exemption at Serial number 1</w:t>
      </w:r>
      <w:r w:rsidRPr="008F0127">
        <w:rPr>
          <w:rFonts w:ascii="Cambria" w:eastAsia="Times New Roman" w:hAnsi="Cambria" w:cs="Times New Roman"/>
          <w:i/>
          <w:iCs/>
          <w:color w:val="333333"/>
          <w:lang w:eastAsia="en-GB"/>
        </w:rPr>
        <w:t>—</w:t>
      </w: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9"/>
        <w:gridCol w:w="7997"/>
      </w:tblGrid>
      <w:tr w:rsidR="008F0127" w:rsidRPr="008F0127" w:rsidTr="008F0127">
        <w:trPr>
          <w:tblCellSpacing w:w="15" w:type="dxa"/>
        </w:trPr>
        <w:tc>
          <w:tcPr>
            <w:tcW w:w="705" w:type="dxa"/>
            <w:noWrap/>
            <w:hideMark/>
          </w:tcPr>
          <w:p w:rsidR="008F0127" w:rsidRPr="008F0127" w:rsidRDefault="008F0127" w:rsidP="008F0127">
            <w:pPr>
              <w:spacing w:after="0" w:line="240" w:lineRule="auto"/>
              <w:jc w:val="right"/>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w:t>
            </w:r>
            <w:proofErr w:type="spellStart"/>
            <w:r w:rsidRPr="008F0127">
              <w:rPr>
                <w:rFonts w:ascii="Cambria" w:eastAsia="Times New Roman" w:hAnsi="Cambria" w:cs="Times New Roman"/>
                <w:i/>
                <w:iCs/>
                <w:color w:val="3E3E3E"/>
                <w:lang w:eastAsia="en-GB"/>
              </w:rPr>
              <w:t>i</w:t>
            </w:r>
            <w:proofErr w:type="spellEnd"/>
            <w:r w:rsidRPr="008F0127">
              <w:rPr>
                <w:rFonts w:ascii="Cambria" w:eastAsia="Times New Roman" w:hAnsi="Cambria" w:cs="Times New Roman"/>
                <w:color w:val="3E3E3E"/>
                <w:lang w:eastAsia="en-GB"/>
              </w:rPr>
              <w:t>)</w:t>
            </w:r>
          </w:p>
        </w:tc>
        <w:tc>
          <w:tcPr>
            <w:tcW w:w="0" w:type="auto"/>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 </w:t>
            </w:r>
          </w:p>
        </w:tc>
        <w:tc>
          <w:tcPr>
            <w:tcW w:w="0" w:type="auto"/>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The amount charged shall be an amount, forming or representing as interest, </w:t>
            </w:r>
            <w:r w:rsidRPr="008F0127">
              <w:rPr>
                <w:rFonts w:ascii="Cambria" w:eastAsia="Times New Roman" w:hAnsi="Cambria" w:cs="Times New Roman"/>
                <w:i/>
                <w:iCs/>
                <w:color w:val="3E3E3E"/>
                <w:lang w:eastAsia="en-GB"/>
              </w:rPr>
              <w:t>i.e.,</w:t>
            </w:r>
            <w:r w:rsidRPr="008F0127">
              <w:rPr>
                <w:rFonts w:ascii="Cambria" w:eastAsia="Times New Roman" w:hAnsi="Cambria" w:cs="Times New Roman"/>
                <w:color w:val="3E3E3E"/>
                <w:lang w:eastAsia="en-GB"/>
              </w:rPr>
              <w:t> the difference between the instalments paid towards repayment of the lease amount and the principal amount contained in such instalments;</w:t>
            </w:r>
          </w:p>
        </w:tc>
      </w:tr>
      <w:tr w:rsidR="008F0127" w:rsidRPr="008F0127" w:rsidTr="008F0127">
        <w:trPr>
          <w:tblCellSpacing w:w="15" w:type="dxa"/>
        </w:trPr>
        <w:tc>
          <w:tcPr>
            <w:tcW w:w="705" w:type="dxa"/>
            <w:noWrap/>
            <w:hideMark/>
          </w:tcPr>
          <w:p w:rsidR="008F0127" w:rsidRPr="008F0127" w:rsidRDefault="008F0127" w:rsidP="008F0127">
            <w:pPr>
              <w:spacing w:after="0" w:line="240" w:lineRule="auto"/>
              <w:jc w:val="right"/>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w:t>
            </w:r>
            <w:r w:rsidRPr="008F0127">
              <w:rPr>
                <w:rFonts w:ascii="Cambria" w:eastAsia="Times New Roman" w:hAnsi="Cambria" w:cs="Times New Roman"/>
                <w:i/>
                <w:iCs/>
                <w:color w:val="3E3E3E"/>
                <w:lang w:eastAsia="en-GB"/>
              </w:rPr>
              <w:t>ii</w:t>
            </w:r>
            <w:r w:rsidRPr="008F0127">
              <w:rPr>
                <w:rFonts w:ascii="Cambria" w:eastAsia="Times New Roman" w:hAnsi="Cambria" w:cs="Times New Roman"/>
                <w:color w:val="3E3E3E"/>
                <w:lang w:eastAsia="en-GB"/>
              </w:rPr>
              <w:t>)</w:t>
            </w:r>
          </w:p>
        </w:tc>
        <w:tc>
          <w:tcPr>
            <w:tcW w:w="0" w:type="auto"/>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 </w:t>
            </w:r>
          </w:p>
        </w:tc>
        <w:tc>
          <w:tcPr>
            <w:tcW w:w="0" w:type="auto"/>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 xml:space="preserve">the exemption shall not apply to an amount, other than an amount forming or representing as interest, charged by the service provider such as lease management </w:t>
            </w:r>
            <w:r w:rsidRPr="008F0127">
              <w:rPr>
                <w:rFonts w:ascii="Cambria" w:eastAsia="Times New Roman" w:hAnsi="Cambria" w:cs="Times New Roman"/>
                <w:color w:val="3E3E3E"/>
                <w:lang w:eastAsia="en-GB"/>
              </w:rPr>
              <w:lastRenderedPageBreak/>
              <w:t>fee, processing fee, documentation charges and administrative fee, which shall be added to the amount calculated in terms of (</w:t>
            </w:r>
            <w:proofErr w:type="spellStart"/>
            <w:r w:rsidRPr="008F0127">
              <w:rPr>
                <w:rFonts w:ascii="Cambria" w:eastAsia="Times New Roman" w:hAnsi="Cambria" w:cs="Times New Roman"/>
                <w:i/>
                <w:iCs/>
                <w:color w:val="3E3E3E"/>
                <w:lang w:eastAsia="en-GB"/>
              </w:rPr>
              <w:t>i</w:t>
            </w:r>
            <w:proofErr w:type="spellEnd"/>
            <w:r w:rsidRPr="008F0127">
              <w:rPr>
                <w:rFonts w:ascii="Cambria" w:eastAsia="Times New Roman" w:hAnsi="Cambria" w:cs="Times New Roman"/>
                <w:color w:val="3E3E3E"/>
                <w:lang w:eastAsia="en-GB"/>
              </w:rPr>
              <w:t>) above.</w:t>
            </w:r>
          </w:p>
        </w:tc>
      </w:tr>
    </w:tbl>
    <w:p w:rsidR="008F0127" w:rsidRPr="008F0127" w:rsidRDefault="008F0127" w:rsidP="008F0127">
      <w:pPr>
        <w:shd w:val="clear" w:color="auto" w:fill="FFFFFF"/>
        <w:spacing w:after="80" w:line="240" w:lineRule="auto"/>
        <w:ind w:left="360" w:right="360"/>
        <w:jc w:val="both"/>
        <w:rPr>
          <w:rFonts w:ascii="Cambria" w:eastAsia="Times New Roman" w:hAnsi="Cambria" w:cs="Times New Roman"/>
          <w:color w:val="333333"/>
          <w:lang w:eastAsia="en-GB"/>
        </w:rPr>
      </w:pPr>
      <w:r w:rsidRPr="008F0127">
        <w:rPr>
          <w:rFonts w:ascii="Cambria" w:eastAsia="Times New Roman" w:hAnsi="Cambria" w:cs="Times New Roman"/>
          <w:color w:val="333333"/>
          <w:lang w:eastAsia="en-GB"/>
        </w:rPr>
        <w:lastRenderedPageBreak/>
        <w:t>B. For the purposes of exemption at Serial number 4</w:t>
      </w:r>
      <w:r w:rsidRPr="008F0127">
        <w:rPr>
          <w:rFonts w:ascii="Cambria" w:eastAsia="Times New Roman" w:hAnsi="Cambria" w:cs="Times New Roman"/>
          <w:i/>
          <w:iCs/>
          <w:color w:val="333333"/>
          <w:lang w:eastAsia="en-GB"/>
        </w:rPr>
        <w:t>—</w:t>
      </w:r>
    </w:p>
    <w:p w:rsidR="008F0127" w:rsidRPr="008F0127" w:rsidRDefault="008F0127" w:rsidP="008F0127">
      <w:pPr>
        <w:shd w:val="clear" w:color="auto" w:fill="FFFFFF"/>
        <w:spacing w:after="150" w:line="240" w:lineRule="auto"/>
        <w:ind w:left="360" w:right="360"/>
        <w:jc w:val="both"/>
        <w:rPr>
          <w:rFonts w:ascii="Cambria" w:eastAsia="Times New Roman" w:hAnsi="Cambria" w:cs="Times New Roman"/>
          <w:color w:val="333333"/>
          <w:lang w:eastAsia="en-GB"/>
        </w:rPr>
      </w:pPr>
      <w:r w:rsidRPr="008F0127">
        <w:rPr>
          <w:rFonts w:ascii="Cambria" w:eastAsia="Times New Roman" w:hAnsi="Cambria" w:cs="Times New Roman"/>
          <w:color w:val="333333"/>
          <w:lang w:eastAsia="en-GB"/>
        </w:rPr>
        <w:t>The amount charged shall be the sum total of the gross amount charged and the fair market value of all goods and services supplied in or in relation to the supply of food or any other article of human consumption or any drink (whether or not intoxicating) and whether or not supplied under the same contract or any other contract, after deducting</w:t>
      </w:r>
      <w:r w:rsidRPr="008F0127">
        <w:rPr>
          <w:rFonts w:ascii="Cambria" w:eastAsia="Times New Roman" w:hAnsi="Cambria" w:cs="Times New Roman"/>
          <w:i/>
          <w:iCs/>
          <w:color w:val="333333"/>
          <w:lang w:eastAsia="en-GB"/>
        </w:rPr>
        <w:t>—</w:t>
      </w: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9"/>
        <w:gridCol w:w="7997"/>
      </w:tblGrid>
      <w:tr w:rsidR="008F0127" w:rsidRPr="008F0127" w:rsidTr="008F0127">
        <w:trPr>
          <w:tblCellSpacing w:w="15" w:type="dxa"/>
        </w:trPr>
        <w:tc>
          <w:tcPr>
            <w:tcW w:w="705" w:type="dxa"/>
            <w:noWrap/>
            <w:hideMark/>
          </w:tcPr>
          <w:p w:rsidR="008F0127" w:rsidRPr="008F0127" w:rsidRDefault="008F0127" w:rsidP="008F0127">
            <w:pPr>
              <w:spacing w:after="0" w:line="240" w:lineRule="auto"/>
              <w:jc w:val="right"/>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w:t>
            </w:r>
            <w:proofErr w:type="spellStart"/>
            <w:r w:rsidRPr="008F0127">
              <w:rPr>
                <w:rFonts w:ascii="Cambria" w:eastAsia="Times New Roman" w:hAnsi="Cambria" w:cs="Times New Roman"/>
                <w:i/>
                <w:iCs/>
                <w:color w:val="3E3E3E"/>
                <w:lang w:eastAsia="en-GB"/>
              </w:rPr>
              <w:t>i</w:t>
            </w:r>
            <w:proofErr w:type="spellEnd"/>
            <w:r w:rsidRPr="008F0127">
              <w:rPr>
                <w:rFonts w:ascii="Cambria" w:eastAsia="Times New Roman" w:hAnsi="Cambria" w:cs="Times New Roman"/>
                <w:color w:val="3E3E3E"/>
                <w:lang w:eastAsia="en-GB"/>
              </w:rPr>
              <w:t>)</w:t>
            </w:r>
          </w:p>
        </w:tc>
        <w:tc>
          <w:tcPr>
            <w:tcW w:w="0" w:type="auto"/>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 </w:t>
            </w:r>
          </w:p>
        </w:tc>
        <w:tc>
          <w:tcPr>
            <w:tcW w:w="0" w:type="auto"/>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the amount charged for such goods or services supplied to the service provider, if any; and</w:t>
            </w:r>
          </w:p>
        </w:tc>
      </w:tr>
      <w:tr w:rsidR="008F0127" w:rsidRPr="008F0127" w:rsidTr="008F0127">
        <w:trPr>
          <w:tblCellSpacing w:w="15" w:type="dxa"/>
        </w:trPr>
        <w:tc>
          <w:tcPr>
            <w:tcW w:w="705" w:type="dxa"/>
            <w:noWrap/>
            <w:hideMark/>
          </w:tcPr>
          <w:p w:rsidR="008F0127" w:rsidRPr="008F0127" w:rsidRDefault="008F0127" w:rsidP="008F0127">
            <w:pPr>
              <w:spacing w:after="0" w:line="240" w:lineRule="auto"/>
              <w:jc w:val="right"/>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w:t>
            </w:r>
            <w:r w:rsidRPr="008F0127">
              <w:rPr>
                <w:rFonts w:ascii="Cambria" w:eastAsia="Times New Roman" w:hAnsi="Cambria" w:cs="Times New Roman"/>
                <w:i/>
                <w:iCs/>
                <w:color w:val="3E3E3E"/>
                <w:lang w:eastAsia="en-GB"/>
              </w:rPr>
              <w:t>ii</w:t>
            </w:r>
            <w:r w:rsidRPr="008F0127">
              <w:rPr>
                <w:rFonts w:ascii="Cambria" w:eastAsia="Times New Roman" w:hAnsi="Cambria" w:cs="Times New Roman"/>
                <w:color w:val="3E3E3E"/>
                <w:lang w:eastAsia="en-GB"/>
              </w:rPr>
              <w:t>)</w:t>
            </w:r>
          </w:p>
        </w:tc>
        <w:tc>
          <w:tcPr>
            <w:tcW w:w="0" w:type="auto"/>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 </w:t>
            </w:r>
          </w:p>
        </w:tc>
        <w:tc>
          <w:tcPr>
            <w:tcW w:w="0" w:type="auto"/>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the value added tax or sales tax, if any, levied thereon:</w:t>
            </w:r>
          </w:p>
        </w:tc>
      </w:tr>
    </w:tbl>
    <w:p w:rsidR="008F0127" w:rsidRPr="008F0127" w:rsidRDefault="008F0127" w:rsidP="008F0127">
      <w:pPr>
        <w:shd w:val="clear" w:color="auto" w:fill="FFFFFF"/>
        <w:spacing w:after="80" w:line="240" w:lineRule="auto"/>
        <w:ind w:left="360" w:right="360"/>
        <w:jc w:val="both"/>
        <w:rPr>
          <w:rFonts w:ascii="Cambria" w:eastAsia="Times New Roman" w:hAnsi="Cambria" w:cs="Times New Roman"/>
          <w:color w:val="333333"/>
          <w:lang w:eastAsia="en-GB"/>
        </w:rPr>
      </w:pPr>
      <w:r w:rsidRPr="008F0127">
        <w:rPr>
          <w:rFonts w:ascii="Cambria" w:eastAsia="Times New Roman" w:hAnsi="Cambria" w:cs="Times New Roman"/>
          <w:b/>
          <w:bCs/>
          <w:color w:val="333333"/>
          <w:lang w:eastAsia="en-GB"/>
        </w:rPr>
        <w:t>Provided</w:t>
      </w:r>
      <w:r w:rsidRPr="008F0127">
        <w:rPr>
          <w:rFonts w:ascii="Cambria" w:eastAsia="Times New Roman" w:hAnsi="Cambria" w:cs="Times New Roman"/>
          <w:color w:val="333333"/>
          <w:lang w:eastAsia="en-GB"/>
        </w:rPr>
        <w:t> that the fair market value of goods and services so supplied may be determined in accordance with the generally accepted accounting principles.</w:t>
      </w:r>
    </w:p>
    <w:p w:rsidR="004C5C0B" w:rsidRDefault="004C5C0B" w:rsidP="008F0127">
      <w:pPr>
        <w:shd w:val="clear" w:color="auto" w:fill="FFFFFF"/>
        <w:spacing w:after="80" w:line="240" w:lineRule="auto"/>
        <w:ind w:left="360" w:right="360"/>
        <w:jc w:val="both"/>
        <w:rPr>
          <w:rFonts w:ascii="Cambria" w:eastAsia="Times New Roman" w:hAnsi="Cambria" w:cs="Times New Roman"/>
          <w:color w:val="333333"/>
          <w:lang w:eastAsia="en-GB"/>
        </w:rPr>
      </w:pPr>
    </w:p>
    <w:p w:rsidR="004C5C0B" w:rsidRPr="004C5C0B" w:rsidRDefault="004C5C0B" w:rsidP="008F0127">
      <w:pPr>
        <w:shd w:val="clear" w:color="auto" w:fill="FFFFFF"/>
        <w:spacing w:after="80" w:line="240" w:lineRule="auto"/>
        <w:ind w:left="360" w:right="360"/>
        <w:jc w:val="both"/>
        <w:rPr>
          <w:rFonts w:ascii="Cambria" w:hAnsi="Cambria"/>
        </w:rPr>
      </w:pPr>
      <w:r w:rsidRPr="004C5C0B">
        <w:rPr>
          <w:rFonts w:ascii="Cambria" w:eastAsia="Times New Roman" w:hAnsi="Cambria" w:cs="Times New Roman"/>
          <w:color w:val="333333"/>
          <w:lang w:eastAsia="en-GB"/>
        </w:rPr>
        <w:t xml:space="preserve">BA. </w:t>
      </w:r>
      <w:r w:rsidRPr="004C5C0B">
        <w:rPr>
          <w:rFonts w:ascii="Cambria" w:hAnsi="Cambria"/>
        </w:rPr>
        <w:t>For the purposes of exemption at Serial number 9, the amount charged shall be the sum total of the amount charged for the service including the fair market value of all goods (including fuel) and services supplied by the recipient(s) in or in relation to the service, whether or not supplied under the same</w:t>
      </w:r>
      <w:r w:rsidRPr="004C5C0B">
        <w:rPr>
          <w:rFonts w:ascii="Cambria" w:hAnsi="Cambria"/>
        </w:rPr>
        <w:t xml:space="preserve"> contract or any other contract;</w:t>
      </w:r>
    </w:p>
    <w:p w:rsidR="004C5C0B" w:rsidRPr="004C5C0B" w:rsidRDefault="004C5C0B" w:rsidP="008F0127">
      <w:pPr>
        <w:shd w:val="clear" w:color="auto" w:fill="FFFFFF"/>
        <w:spacing w:after="80" w:line="240" w:lineRule="auto"/>
        <w:ind w:left="360" w:right="360"/>
        <w:jc w:val="both"/>
        <w:rPr>
          <w:rFonts w:ascii="Cambria" w:eastAsia="Times New Roman" w:hAnsi="Cambria" w:cs="Times New Roman"/>
          <w:color w:val="333333"/>
          <w:lang w:eastAsia="en-GB"/>
        </w:rPr>
      </w:pPr>
      <w:r w:rsidRPr="004C5C0B">
        <w:rPr>
          <w:rFonts w:ascii="Cambria" w:hAnsi="Cambria"/>
        </w:rPr>
        <w:t>Provided that the fair market value of goods and services so supplied may be determined in accordance with the generally accepted accounting principles.</w:t>
      </w:r>
      <w:proofErr w:type="gramStart"/>
      <w:r w:rsidRPr="004C5C0B">
        <w:rPr>
          <w:rFonts w:ascii="Cambria" w:hAnsi="Cambria"/>
        </w:rPr>
        <w:t>”.</w:t>
      </w:r>
      <w:proofErr w:type="gramEnd"/>
    </w:p>
    <w:p w:rsidR="004C5C0B" w:rsidRPr="004C5C0B" w:rsidRDefault="004C5C0B" w:rsidP="008F0127">
      <w:pPr>
        <w:shd w:val="clear" w:color="auto" w:fill="FFFFFF"/>
        <w:spacing w:after="80" w:line="240" w:lineRule="auto"/>
        <w:ind w:left="360" w:right="360"/>
        <w:jc w:val="both"/>
        <w:rPr>
          <w:rFonts w:ascii="Cambria" w:eastAsia="Times New Roman" w:hAnsi="Cambria" w:cs="Times New Roman"/>
          <w:color w:val="333333"/>
          <w:lang w:eastAsia="en-GB"/>
        </w:rPr>
      </w:pPr>
    </w:p>
    <w:p w:rsidR="008F0127" w:rsidRPr="008F0127" w:rsidRDefault="008F0127" w:rsidP="008F0127">
      <w:pPr>
        <w:shd w:val="clear" w:color="auto" w:fill="FFFFFF"/>
        <w:spacing w:after="80" w:line="240" w:lineRule="auto"/>
        <w:ind w:left="360" w:right="360"/>
        <w:jc w:val="both"/>
        <w:rPr>
          <w:rFonts w:ascii="Cambria" w:eastAsia="Times New Roman" w:hAnsi="Cambria" w:cs="Times New Roman"/>
          <w:color w:val="333333"/>
          <w:lang w:eastAsia="en-GB"/>
        </w:rPr>
      </w:pPr>
      <w:r w:rsidRPr="008F0127">
        <w:rPr>
          <w:rFonts w:ascii="Cambria" w:eastAsia="Times New Roman" w:hAnsi="Cambria" w:cs="Times New Roman"/>
          <w:color w:val="333333"/>
          <w:lang w:eastAsia="en-GB"/>
        </w:rPr>
        <w:t>C. For the purposes of exemption at Serial number 12 —</w:t>
      </w:r>
    </w:p>
    <w:p w:rsidR="008F0127" w:rsidRPr="008F0127" w:rsidRDefault="008F0127" w:rsidP="008F0127">
      <w:pPr>
        <w:shd w:val="clear" w:color="auto" w:fill="FFFFFF"/>
        <w:spacing w:after="150" w:line="240" w:lineRule="auto"/>
        <w:ind w:left="360" w:right="360"/>
        <w:jc w:val="both"/>
        <w:rPr>
          <w:rFonts w:ascii="Cambria" w:eastAsia="Times New Roman" w:hAnsi="Cambria" w:cs="Times New Roman"/>
          <w:color w:val="333333"/>
          <w:lang w:eastAsia="en-GB"/>
        </w:rPr>
      </w:pPr>
      <w:r w:rsidRPr="008F0127">
        <w:rPr>
          <w:rFonts w:ascii="Cambria" w:eastAsia="Times New Roman" w:hAnsi="Cambria" w:cs="Times New Roman"/>
          <w:color w:val="333333"/>
          <w:lang w:eastAsia="en-GB"/>
        </w:rPr>
        <w:t>The amount charged shall be the sum total of the amount charged for the service including the fair market value of all goods and services supplied by the recipient(s) in or in relation to the service, whether or not supplied under the same contract or any other contract, after deducting—</w:t>
      </w: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9"/>
        <w:gridCol w:w="7997"/>
      </w:tblGrid>
      <w:tr w:rsidR="008F0127" w:rsidRPr="008F0127" w:rsidTr="008F0127">
        <w:trPr>
          <w:tblCellSpacing w:w="15" w:type="dxa"/>
        </w:trPr>
        <w:tc>
          <w:tcPr>
            <w:tcW w:w="705" w:type="dxa"/>
            <w:noWrap/>
            <w:hideMark/>
          </w:tcPr>
          <w:p w:rsidR="008F0127" w:rsidRPr="008F0127" w:rsidRDefault="008F0127" w:rsidP="008F0127">
            <w:pPr>
              <w:spacing w:after="0" w:line="240" w:lineRule="auto"/>
              <w:jc w:val="right"/>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w:t>
            </w:r>
            <w:proofErr w:type="spellStart"/>
            <w:r w:rsidRPr="008F0127">
              <w:rPr>
                <w:rFonts w:ascii="Cambria" w:eastAsia="Times New Roman" w:hAnsi="Cambria" w:cs="Times New Roman"/>
                <w:i/>
                <w:iCs/>
                <w:color w:val="3E3E3E"/>
                <w:lang w:eastAsia="en-GB"/>
              </w:rPr>
              <w:t>i</w:t>
            </w:r>
            <w:proofErr w:type="spellEnd"/>
            <w:r w:rsidRPr="008F0127">
              <w:rPr>
                <w:rFonts w:ascii="Cambria" w:eastAsia="Times New Roman" w:hAnsi="Cambria" w:cs="Times New Roman"/>
                <w:color w:val="3E3E3E"/>
                <w:lang w:eastAsia="en-GB"/>
              </w:rPr>
              <w:t>)</w:t>
            </w:r>
          </w:p>
        </w:tc>
        <w:tc>
          <w:tcPr>
            <w:tcW w:w="0" w:type="auto"/>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 </w:t>
            </w:r>
          </w:p>
        </w:tc>
        <w:tc>
          <w:tcPr>
            <w:tcW w:w="0" w:type="auto"/>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the amount charged for such goods or services supplied to the service provider, if any; and</w:t>
            </w:r>
          </w:p>
        </w:tc>
      </w:tr>
      <w:tr w:rsidR="008F0127" w:rsidRPr="008F0127" w:rsidTr="008F0127">
        <w:trPr>
          <w:tblCellSpacing w:w="15" w:type="dxa"/>
        </w:trPr>
        <w:tc>
          <w:tcPr>
            <w:tcW w:w="705" w:type="dxa"/>
            <w:noWrap/>
            <w:hideMark/>
          </w:tcPr>
          <w:p w:rsidR="008F0127" w:rsidRPr="008F0127" w:rsidRDefault="008F0127" w:rsidP="008F0127">
            <w:pPr>
              <w:spacing w:after="0" w:line="240" w:lineRule="auto"/>
              <w:jc w:val="right"/>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w:t>
            </w:r>
            <w:r w:rsidRPr="008F0127">
              <w:rPr>
                <w:rFonts w:ascii="Cambria" w:eastAsia="Times New Roman" w:hAnsi="Cambria" w:cs="Times New Roman"/>
                <w:i/>
                <w:iCs/>
                <w:color w:val="3E3E3E"/>
                <w:lang w:eastAsia="en-GB"/>
              </w:rPr>
              <w:t>ii</w:t>
            </w:r>
            <w:r w:rsidRPr="008F0127">
              <w:rPr>
                <w:rFonts w:ascii="Cambria" w:eastAsia="Times New Roman" w:hAnsi="Cambria" w:cs="Times New Roman"/>
                <w:color w:val="3E3E3E"/>
                <w:lang w:eastAsia="en-GB"/>
              </w:rPr>
              <w:t>)</w:t>
            </w:r>
          </w:p>
        </w:tc>
        <w:tc>
          <w:tcPr>
            <w:tcW w:w="0" w:type="auto"/>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 </w:t>
            </w:r>
          </w:p>
        </w:tc>
        <w:tc>
          <w:tcPr>
            <w:tcW w:w="0" w:type="auto"/>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the value added tax or sales tax, if any, levied thereon:</w:t>
            </w:r>
          </w:p>
        </w:tc>
      </w:tr>
      <w:tr w:rsidR="008F0127" w:rsidRPr="008F0127" w:rsidTr="008F0127">
        <w:trPr>
          <w:tblCellSpacing w:w="15" w:type="dxa"/>
        </w:trPr>
        <w:tc>
          <w:tcPr>
            <w:tcW w:w="705" w:type="dxa"/>
            <w:noWrap/>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p>
        </w:tc>
        <w:tc>
          <w:tcPr>
            <w:tcW w:w="0" w:type="auto"/>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 </w:t>
            </w:r>
          </w:p>
        </w:tc>
        <w:tc>
          <w:tcPr>
            <w:tcW w:w="0" w:type="auto"/>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b/>
                <w:bCs/>
                <w:color w:val="3E3E3E"/>
                <w:lang w:eastAsia="en-GB"/>
              </w:rPr>
              <w:t>Provided</w:t>
            </w:r>
            <w:r w:rsidRPr="008F0127">
              <w:rPr>
                <w:rFonts w:ascii="Cambria" w:eastAsia="Times New Roman" w:hAnsi="Cambria" w:cs="Times New Roman"/>
                <w:color w:val="3E3E3E"/>
                <w:lang w:eastAsia="en-GB"/>
              </w:rPr>
              <w:t> that the fair market value of goods and services so supplied may be determined in accordance with the generally accepted accounting principles.</w:t>
            </w:r>
          </w:p>
        </w:tc>
      </w:tr>
    </w:tbl>
    <w:p w:rsidR="008F0127" w:rsidRPr="008F0127" w:rsidRDefault="008F0127" w:rsidP="008F0127">
      <w:pPr>
        <w:shd w:val="clear" w:color="auto" w:fill="FFFFFF"/>
        <w:spacing w:after="150" w:line="240" w:lineRule="auto"/>
        <w:ind w:left="360" w:right="360"/>
        <w:jc w:val="both"/>
        <w:rPr>
          <w:rFonts w:ascii="Cambria" w:eastAsia="Times New Roman" w:hAnsi="Cambria" w:cs="Times New Roman"/>
          <w:color w:val="333333"/>
          <w:lang w:eastAsia="en-GB"/>
        </w:rPr>
      </w:pPr>
      <w:r w:rsidRPr="008F0127">
        <w:rPr>
          <w:rFonts w:ascii="Cambria" w:eastAsia="Times New Roman" w:hAnsi="Cambria" w:cs="Times New Roman"/>
          <w:b/>
          <w:bCs/>
          <w:color w:val="333333"/>
          <w:lang w:eastAsia="en-GB"/>
        </w:rPr>
        <w:t>2.</w:t>
      </w:r>
      <w:r w:rsidRPr="008F0127">
        <w:rPr>
          <w:rFonts w:ascii="Cambria" w:eastAsia="Times New Roman" w:hAnsi="Cambria" w:cs="Times New Roman"/>
          <w:color w:val="333333"/>
          <w:lang w:eastAsia="en-GB"/>
        </w:rPr>
        <w:t> For the purposes of this notification, unless the context otherwise requires,</w:t>
      </w:r>
      <w:r w:rsidRPr="008F0127">
        <w:rPr>
          <w:rFonts w:ascii="Cambria" w:eastAsia="Times New Roman" w:hAnsi="Cambria" w:cs="Times New Roman"/>
          <w:i/>
          <w:iCs/>
          <w:color w:val="333333"/>
          <w:lang w:eastAsia="en-GB"/>
        </w:rPr>
        <w:t>—</w:t>
      </w: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9"/>
        <w:gridCol w:w="7997"/>
      </w:tblGrid>
      <w:tr w:rsidR="008F0127" w:rsidRPr="008F0127" w:rsidTr="008F0127">
        <w:trPr>
          <w:tblCellSpacing w:w="15" w:type="dxa"/>
        </w:trPr>
        <w:tc>
          <w:tcPr>
            <w:tcW w:w="705" w:type="dxa"/>
            <w:noWrap/>
            <w:hideMark/>
          </w:tcPr>
          <w:p w:rsidR="008F0127" w:rsidRPr="008F0127" w:rsidRDefault="008F0127" w:rsidP="008F0127">
            <w:pPr>
              <w:spacing w:after="0" w:line="240" w:lineRule="auto"/>
              <w:jc w:val="right"/>
              <w:rPr>
                <w:rFonts w:ascii="Cambria" w:eastAsia="Times New Roman" w:hAnsi="Cambria" w:cs="Times New Roman"/>
                <w:color w:val="3E3E3E"/>
                <w:lang w:eastAsia="en-GB"/>
              </w:rPr>
            </w:pPr>
            <w:r w:rsidRPr="008F0127">
              <w:rPr>
                <w:rFonts w:ascii="Cambria" w:eastAsia="Times New Roman" w:hAnsi="Cambria" w:cs="Times New Roman"/>
                <w:i/>
                <w:iCs/>
                <w:color w:val="3E3E3E"/>
                <w:lang w:eastAsia="en-GB"/>
              </w:rPr>
              <w:t>a.</w:t>
            </w:r>
          </w:p>
        </w:tc>
        <w:tc>
          <w:tcPr>
            <w:tcW w:w="0" w:type="auto"/>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 </w:t>
            </w:r>
          </w:p>
        </w:tc>
        <w:tc>
          <w:tcPr>
            <w:tcW w:w="0" w:type="auto"/>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hyperlink r:id="rId16" w:history="1">
              <w:r w:rsidRPr="008F0127">
                <w:rPr>
                  <w:rFonts w:ascii="Cambria" w:eastAsia="Times New Roman" w:hAnsi="Cambria" w:cs="Times New Roman"/>
                  <w:color w:val="0000FF"/>
                  <w:u w:val="single"/>
                  <w:vertAlign w:val="superscript"/>
                  <w:lang w:eastAsia="en-GB"/>
                </w:rPr>
                <w:t>1</w:t>
              </w:r>
            </w:hyperlink>
            <w:r w:rsidRPr="008F0127">
              <w:rPr>
                <w:rFonts w:ascii="Cambria" w:eastAsia="Times New Roman" w:hAnsi="Cambria" w:cs="Times New Roman"/>
                <w:color w:val="3E3E3E"/>
                <w:lang w:eastAsia="en-GB"/>
              </w:rPr>
              <w:t> </w:t>
            </w:r>
            <w:r w:rsidRPr="008F0127">
              <w:rPr>
                <w:rFonts w:ascii="Cambria" w:eastAsia="Times New Roman" w:hAnsi="Cambria" w:cs="Times New Roman"/>
                <w:b/>
                <w:bCs/>
                <w:color w:val="3E3E3E"/>
                <w:lang w:eastAsia="en-GB"/>
              </w:rPr>
              <w:t>[</w:t>
            </w:r>
            <w:r w:rsidRPr="008F0127">
              <w:rPr>
                <w:rFonts w:ascii="Cambria" w:eastAsia="Times New Roman" w:hAnsi="Cambria" w:cs="Times New Roman"/>
                <w:color w:val="3E3E3E"/>
                <w:lang w:eastAsia="en-GB"/>
              </w:rPr>
              <w:t>***</w:t>
            </w:r>
            <w:r w:rsidRPr="008F0127">
              <w:rPr>
                <w:rFonts w:ascii="Cambria" w:eastAsia="Times New Roman" w:hAnsi="Cambria" w:cs="Times New Roman"/>
                <w:b/>
                <w:bCs/>
                <w:color w:val="3E3E3E"/>
                <w:lang w:eastAsia="en-GB"/>
              </w:rPr>
              <w:t>]</w:t>
            </w:r>
          </w:p>
        </w:tc>
      </w:tr>
      <w:tr w:rsidR="008F0127" w:rsidRPr="008F0127" w:rsidTr="008F0127">
        <w:trPr>
          <w:tblCellSpacing w:w="15" w:type="dxa"/>
        </w:trPr>
        <w:tc>
          <w:tcPr>
            <w:tcW w:w="705" w:type="dxa"/>
            <w:noWrap/>
            <w:hideMark/>
          </w:tcPr>
          <w:p w:rsidR="008F0127" w:rsidRPr="008F0127" w:rsidRDefault="008F0127" w:rsidP="008F0127">
            <w:pPr>
              <w:spacing w:after="0" w:line="240" w:lineRule="auto"/>
              <w:jc w:val="right"/>
              <w:rPr>
                <w:rFonts w:ascii="Cambria" w:eastAsia="Times New Roman" w:hAnsi="Cambria" w:cs="Times New Roman"/>
                <w:color w:val="3E3E3E"/>
                <w:lang w:eastAsia="en-GB"/>
              </w:rPr>
            </w:pPr>
            <w:r w:rsidRPr="008F0127">
              <w:rPr>
                <w:rFonts w:ascii="Cambria" w:eastAsia="Times New Roman" w:hAnsi="Cambria" w:cs="Times New Roman"/>
                <w:i/>
                <w:iCs/>
                <w:color w:val="3E3E3E"/>
                <w:lang w:eastAsia="en-GB"/>
              </w:rPr>
              <w:t>c.</w:t>
            </w:r>
          </w:p>
        </w:tc>
        <w:tc>
          <w:tcPr>
            <w:tcW w:w="0" w:type="auto"/>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 </w:t>
            </w:r>
          </w:p>
        </w:tc>
        <w:tc>
          <w:tcPr>
            <w:tcW w:w="0" w:type="auto"/>
            <w:hideMark/>
          </w:tcPr>
          <w:p w:rsidR="008F0127" w:rsidRPr="008F0127" w:rsidRDefault="008F0127" w:rsidP="008F0127">
            <w:pPr>
              <w:spacing w:after="0" w:line="240" w:lineRule="auto"/>
              <w:jc w:val="both"/>
              <w:rPr>
                <w:rFonts w:ascii="Cambria" w:eastAsia="Times New Roman" w:hAnsi="Cambria" w:cs="Times New Roman"/>
                <w:color w:val="3E3E3E"/>
                <w:lang w:eastAsia="en-GB"/>
              </w:rPr>
            </w:pPr>
            <w:r w:rsidRPr="008F0127">
              <w:rPr>
                <w:rFonts w:ascii="Cambria" w:eastAsia="Times New Roman" w:hAnsi="Cambria" w:cs="Times New Roman"/>
                <w:color w:val="3E3E3E"/>
                <w:lang w:eastAsia="en-GB"/>
              </w:rPr>
              <w:t>"</w:t>
            </w:r>
            <w:proofErr w:type="gramStart"/>
            <w:r w:rsidRPr="008F0127">
              <w:rPr>
                <w:rFonts w:ascii="Cambria" w:eastAsia="Times New Roman" w:hAnsi="Cambria" w:cs="Times New Roman"/>
                <w:color w:val="3E3E3E"/>
                <w:lang w:eastAsia="en-GB"/>
              </w:rPr>
              <w:t>tour</w:t>
            </w:r>
            <w:proofErr w:type="gramEnd"/>
            <w:r w:rsidRPr="008F0127">
              <w:rPr>
                <w:rFonts w:ascii="Cambria" w:eastAsia="Times New Roman" w:hAnsi="Cambria" w:cs="Times New Roman"/>
                <w:color w:val="3E3E3E"/>
                <w:lang w:eastAsia="en-GB"/>
              </w:rPr>
              <w:t xml:space="preserve"> operator" means any person engaged in the business of planning, scheduling, organizing, arranging tours (which may include arrangements for accommodation, sightseeing or other similar services) by any mode of transport, and includes any person engaged in the business of operating tours.</w:t>
            </w:r>
          </w:p>
        </w:tc>
      </w:tr>
    </w:tbl>
    <w:p w:rsidR="008F0127" w:rsidRPr="008F0127" w:rsidRDefault="008F0127" w:rsidP="008F0127">
      <w:pPr>
        <w:shd w:val="clear" w:color="auto" w:fill="FFFFFF"/>
        <w:spacing w:after="150" w:line="240" w:lineRule="auto"/>
        <w:ind w:left="360" w:right="360"/>
        <w:jc w:val="both"/>
        <w:rPr>
          <w:rFonts w:ascii="Cambria" w:eastAsia="Times New Roman" w:hAnsi="Cambria" w:cs="Times New Roman"/>
          <w:color w:val="333333"/>
          <w:lang w:eastAsia="en-GB"/>
        </w:rPr>
      </w:pPr>
      <w:r w:rsidRPr="008F0127">
        <w:rPr>
          <w:rFonts w:ascii="Cambria" w:eastAsia="Times New Roman" w:hAnsi="Cambria" w:cs="Times New Roman"/>
          <w:b/>
          <w:bCs/>
          <w:color w:val="333333"/>
          <w:lang w:eastAsia="en-GB"/>
        </w:rPr>
        <w:t>3.</w:t>
      </w:r>
      <w:r w:rsidRPr="008F0127">
        <w:rPr>
          <w:rFonts w:ascii="Cambria" w:eastAsia="Times New Roman" w:hAnsi="Cambria" w:cs="Times New Roman"/>
          <w:color w:val="333333"/>
          <w:lang w:eastAsia="en-GB"/>
        </w:rPr>
        <w:t> This notification shall come into force on the 1st day of July, 2012</w:t>
      </w:r>
    </w:p>
    <w:p w:rsidR="00E224A5" w:rsidRPr="008F0127" w:rsidRDefault="004C5C0B">
      <w:pPr>
        <w:rPr>
          <w:rFonts w:ascii="Cambria" w:hAnsi="Cambria"/>
        </w:rPr>
      </w:pPr>
    </w:p>
    <w:sectPr w:rsidR="00E224A5" w:rsidRPr="008F012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62710"/>
    <w:multiLevelType w:val="hybridMultilevel"/>
    <w:tmpl w:val="4AD65C02"/>
    <w:lvl w:ilvl="0" w:tplc="A150EB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73000A"/>
    <w:multiLevelType w:val="hybridMultilevel"/>
    <w:tmpl w:val="D1C27780"/>
    <w:lvl w:ilvl="0" w:tplc="6CECF4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A15EA9"/>
    <w:multiLevelType w:val="hybridMultilevel"/>
    <w:tmpl w:val="EBD016CA"/>
    <w:lvl w:ilvl="0" w:tplc="08784D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27"/>
    <w:rsid w:val="004C5C0B"/>
    <w:rsid w:val="0072225F"/>
    <w:rsid w:val="008F0127"/>
    <w:rsid w:val="00F31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A84FE-EE4C-4131-9DFE-41A96429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F012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0127"/>
    <w:rPr>
      <w:rFonts w:ascii="Times New Roman" w:eastAsia="Times New Roman" w:hAnsi="Times New Roman" w:cs="Times New Roman"/>
      <w:b/>
      <w:bCs/>
      <w:sz w:val="36"/>
      <w:szCs w:val="36"/>
      <w:lang w:eastAsia="en-GB"/>
    </w:rPr>
  </w:style>
  <w:style w:type="character" w:customStyle="1" w:styleId="boxfileopenheading">
    <w:name w:val="box_fileopen_heading"/>
    <w:basedOn w:val="DefaultParagraphFont"/>
    <w:rsid w:val="008F0127"/>
  </w:style>
  <w:style w:type="paragraph" w:styleId="NormalWeb">
    <w:name w:val="Normal (Web)"/>
    <w:basedOn w:val="Normal"/>
    <w:uiPriority w:val="99"/>
    <w:semiHidden/>
    <w:unhideWhenUsed/>
    <w:rsid w:val="008F01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F0127"/>
  </w:style>
  <w:style w:type="character" w:styleId="Hyperlink">
    <w:name w:val="Hyperlink"/>
    <w:basedOn w:val="DefaultParagraphFont"/>
    <w:uiPriority w:val="99"/>
    <w:semiHidden/>
    <w:unhideWhenUsed/>
    <w:rsid w:val="008F0127"/>
    <w:rPr>
      <w:color w:val="0000FF"/>
      <w:u w:val="single"/>
    </w:rPr>
  </w:style>
  <w:style w:type="paragraph" w:styleId="ListParagraph">
    <w:name w:val="List Paragraph"/>
    <w:basedOn w:val="Normal"/>
    <w:uiPriority w:val="34"/>
    <w:qFormat/>
    <w:rsid w:val="008F0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544504">
      <w:bodyDiv w:val="1"/>
      <w:marLeft w:val="0"/>
      <w:marRight w:val="0"/>
      <w:marTop w:val="0"/>
      <w:marBottom w:val="0"/>
      <w:divBdr>
        <w:top w:val="none" w:sz="0" w:space="0" w:color="auto"/>
        <w:left w:val="none" w:sz="0" w:space="0" w:color="auto"/>
        <w:bottom w:val="none" w:sz="0" w:space="0" w:color="auto"/>
        <w:right w:val="none" w:sz="0" w:space="0" w:color="auto"/>
      </w:divBdr>
      <w:divsChild>
        <w:div w:id="1718966323">
          <w:marLeft w:val="0"/>
          <w:marRight w:val="0"/>
          <w:marTop w:val="0"/>
          <w:marBottom w:val="0"/>
          <w:divBdr>
            <w:top w:val="none" w:sz="0" w:space="0" w:color="auto"/>
            <w:left w:val="none" w:sz="0" w:space="0" w:color="auto"/>
            <w:bottom w:val="none" w:sz="0" w:space="0" w:color="auto"/>
            <w:right w:val="none" w:sz="0" w:space="0" w:color="auto"/>
          </w:divBdr>
          <w:divsChild>
            <w:div w:id="356931596">
              <w:marLeft w:val="0"/>
              <w:marRight w:val="0"/>
              <w:marTop w:val="0"/>
              <w:marBottom w:val="0"/>
              <w:divBdr>
                <w:top w:val="none" w:sz="0" w:space="0" w:color="auto"/>
                <w:left w:val="none" w:sz="0" w:space="0" w:color="auto"/>
                <w:bottom w:val="none" w:sz="0" w:space="0" w:color="auto"/>
                <w:right w:val="none" w:sz="0" w:space="0" w:color="auto"/>
              </w:divBdr>
            </w:div>
          </w:divsChild>
        </w:div>
        <w:div w:id="940839264">
          <w:marLeft w:val="0"/>
          <w:marRight w:val="0"/>
          <w:marTop w:val="1005"/>
          <w:marBottom w:val="0"/>
          <w:divBdr>
            <w:top w:val="none" w:sz="0" w:space="0" w:color="auto"/>
            <w:left w:val="none" w:sz="0" w:space="0" w:color="auto"/>
            <w:bottom w:val="none" w:sz="0" w:space="0" w:color="auto"/>
            <w:right w:val="none" w:sz="0" w:space="0" w:color="auto"/>
          </w:divBdr>
          <w:divsChild>
            <w:div w:id="1494370234">
              <w:marLeft w:val="0"/>
              <w:marRight w:val="0"/>
              <w:marTop w:val="225"/>
              <w:marBottom w:val="0"/>
              <w:divBdr>
                <w:top w:val="none" w:sz="0" w:space="0" w:color="auto"/>
                <w:left w:val="none" w:sz="0" w:space="0" w:color="auto"/>
                <w:bottom w:val="none" w:sz="0" w:space="0" w:color="auto"/>
                <w:right w:val="none" w:sz="0" w:space="0" w:color="auto"/>
              </w:divBdr>
              <w:divsChild>
                <w:div w:id="1988240882">
                  <w:marLeft w:val="300"/>
                  <w:marRight w:val="300"/>
                  <w:marTop w:val="150"/>
                  <w:marBottom w:val="150"/>
                  <w:divBdr>
                    <w:top w:val="none" w:sz="0" w:space="0" w:color="auto"/>
                    <w:left w:val="none" w:sz="0" w:space="0" w:color="auto"/>
                    <w:bottom w:val="none" w:sz="0" w:space="0" w:color="auto"/>
                    <w:right w:val="none" w:sz="0" w:space="0" w:color="auto"/>
                  </w:divBdr>
                  <w:divsChild>
                    <w:div w:id="5841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 Seth</dc:creator>
  <cp:keywords/>
  <dc:description/>
  <cp:lastModifiedBy>Dhruv Seth</cp:lastModifiedBy>
  <cp:revision>1</cp:revision>
  <dcterms:created xsi:type="dcterms:W3CDTF">2016-03-02T15:04:00Z</dcterms:created>
  <dcterms:modified xsi:type="dcterms:W3CDTF">2016-03-02T15:16:00Z</dcterms:modified>
</cp:coreProperties>
</file>